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98A04"/>
        </w:rPr>
        <w:t>DSGE_mkik · Workshop-terv</w:t>
      </w:r>
    </w:p>
    <w:p>
      <w:pPr>
        <w:pStyle w:val="Title"/>
      </w:pPr>
      <w:r>
        <w:t>Workshop a modell jelenlegi állapotáról</w:t>
      </w:r>
    </w:p>
    <w:p>
      <w:pPr>
        <w:spacing w:after="120"/>
      </w:pPr>
      <w:r>
        <w:t>2026. október 5., hétfő · kb. 8 fő (közgazdász hallgatók és szakértők) · 2 óra 15 perc · kerekasztal, kiscsoportok nélkül</w:t>
      </w:r>
    </w:p>
    <w:p>
      <w:pPr>
        <w:spacing w:after="120"/>
      </w:pPr>
      <w:r>
        <w:t>Készült 2026-09-30-án. A dokumentum a saját javaslatunkat és a ChatGPT-vel egyeztetett menetrendet egyesíti, és leírja, melyik ötletet miért vettük át vagy módosítottuk.</w:t>
      </w:r>
    </w:p>
    <w:p>
      <w:pPr>
        <w:pStyle w:val="Heading1"/>
      </w:pPr>
      <w:r>
        <w:t>1. Az alapötlet</w:t>
      </w:r>
    </w:p>
    <w:p>
      <w:pPr>
        <w:spacing w:after="120"/>
      </w:pPr>
      <w:r>
        <w:t>A workshop nem eredmény-bemutató, hanem munkaülés. A modellépítés kész, a hátralévő munka a paraméterek horgonyzása, és erre ez a közönség tudja a legtöbbet adni: a szakértők forrást, adatot és bírálatot, a hallgatók friss olvasói szemet és munkaerőt.</w:t>
      </w:r>
    </w:p>
    <w:p>
      <w:pPr>
        <w:spacing w:after="120"/>
      </w:pPr>
      <w:r>
        <w:t>Nem az egész modellt mutatjuk be azonos mélységben. Egyetlen kérdést követünk végig a modellen: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3EBFF"/>
          </w:tcPr>
          <w:p>
            <w:r>
              <w:rPr>
                <w:b/>
                <w:color w:val="C98A04"/>
              </w:rPr>
              <w:t>A workshop központi kérdése</w:t>
            </w:r>
          </w:p>
          <w:p>
            <w:r>
              <w:rPr>
                <w:b/>
              </w:rPr>
              <w:t>Milyen feltételek mellett állíthatjuk, hogy az euró bevezetése eltérően érinti az exportáló KKV-kat, a hazai KKV-kat és a nagyvállalatokat?</w:t>
            </w:r>
          </w:p>
          <w:p>
            <w:r>
              <w:t>A nyitó mondat: „Ez nem feltétel nélküli euróhatás-becslés, hanem egy adott felár-, kamat- és hozzáférési pálya következménye.”</w:t>
            </w:r>
          </w:p>
        </w:tc>
      </w:tr>
    </w:tbl>
    <w:p/>
    <w:p>
      <w:pPr>
        <w:spacing w:after="120"/>
      </w:pPr>
      <w:r>
        <w:t>A legjobb kimenet nem az, hogy mindenki megértette a teljes modellt, hanem hogy közösen azonosítunk 2–3 olyan pontot, amelynek javítása érdemben növeli a modell hitelességét. Konkrét cél: egy forrás, egy adat vagy egy azonosítási ötlet a négy nyitott kérdés mindegyikére.</w:t>
      </w:r>
    </w:p>
    <w:p>
      <w:pPr>
        <w:pStyle w:val="Heading1"/>
      </w:pPr>
      <w:r>
        <w:t>2. Menetrend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Idő</w:t>
            </w:r>
          </w:p>
        </w:tc>
        <w:tc>
          <w:tcPr>
            <w:tcW w:type="dxa" w:w="2154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Blokk</w:t>
            </w:r>
          </w:p>
        </w:tc>
        <w:tc>
          <w:tcPr>
            <w:tcW w:type="dxa" w:w="5669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Mi történik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0:00–0:10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20"/>
              </w:rPr>
              <w:t>Indítás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Bemutatkozó kör: mindenki két dolgot mond (mit vár a modelltől, és mi az az egy kérdés, amire egy ilyen modellnek válaszolnia kell). A felvetéseket három oszlopba írjuk: szerkezet · kalibráció/adat · szakpolitikai értelmezés.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0:10–0:25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20"/>
              </w:rPr>
              <w:t>A projekt 15 percben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Legfeljebb 6 dia: a kérdés, miért DSGE, miért három vállalattípus, mi történik az euró bevezetésekor, mit tudunk állítani, mi bizonytalan. Paraméterek és egyenletek még nincsenek.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0:25–0:50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20"/>
              </w:rPr>
              <w:t>A modell közös „boncolása”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Egy nagy transzmissziós ábra. Minden nyílnál ugyanaz a négy kérdés. Először a hallgatók magyarázzák el a mechanizmust, utána jönnek a szakértői kifogások.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0:50–1:15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20"/>
              </w:rPr>
              <w:t>Egy euró-forgatókönyv végig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Az alap szcenárió lépésenként: felárak → kamat és reálárfolyam → vállalati felárak → hozzáférés → GDP → KKV–nagyvállalat különbség. Minden ábra előtt: „Mit vártok?”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1:15–1:25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20"/>
              </w:rPr>
              <w:t>Szünet</w:t>
            </w:r>
          </w:p>
        </w:tc>
        <w:tc>
          <w:tcPr>
            <w:tcW w:type="dxa" w:w="5669"/>
          </w:tcPr>
          <w:p>
            <w:pPr>
              <w:spacing w:after="0"/>
            </w:pP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1:25–1:50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20"/>
              </w:rPr>
              <w:t>Mi hajtja a KKV-eredményt?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Az előre kitöltött paraméter-priorizáló tábla. Csak ott állunk meg, ahol valaki nem ért egyet. Záró kérdés: „Ha egyetlen paramétert mérhetnénk meg tökéletesen, melyik lenne az?”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1:50–2:07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20"/>
              </w:rPr>
              <w:t>Bírálói kör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A felkért discussant nyit (kb. 8 perc), utána mindenki sorban, vita nélkül, legfeljebb 1 perc/fő. A kifogásokat négy típusba soroljuk.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2:07–2:15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20"/>
              </w:rPr>
              <w:t>Döntések és lezárás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A döntési tábla kitöltése felelőssel és határidővel.</w:t>
            </w:r>
          </w:p>
        </w:tc>
      </w:tr>
    </w:tbl>
    <w:p/>
    <w:p>
      <w:pPr>
        <w:pStyle w:val="Heading1"/>
      </w:pPr>
      <w:r>
        <w:t>3. A blokkok részletesen</w:t>
      </w:r>
    </w:p>
    <w:p>
      <w:pPr>
        <w:pStyle w:val="Heading2"/>
      </w:pPr>
      <w:r>
        <w:t>Indítás (10 perc)</w:t>
      </w:r>
    </w:p>
    <w:p>
      <w:pPr>
        <w:spacing w:after="120"/>
      </w:pPr>
      <w:r>
        <w:t>A bemutatkozó kör rögtön megmutatja, mit tartanak fontosnak a résztvevők, és melyik oszlop telik meg. Ha a szakpolitikai oszlop a legtelibb, a zárásban több időt adunk a kommunikációs kérdéseknek.</w:t>
      </w:r>
    </w:p>
    <w:p>
      <w:pPr>
        <w:pStyle w:val="Heading2"/>
      </w:pPr>
      <w:r>
        <w:t>A projekt 15 percben</w:t>
      </w:r>
    </w:p>
    <w:p>
      <w:pPr>
        <w:spacing w:after="120"/>
      </w:pPr>
      <w:r>
        <w:t>A diák a discussant-anyag 1–4. szakaszából készülnek, így a két anyag ugyanazt mondja. A GDP-sáv (+0,52% … +1,18%, 9/9 BK-stabil konfiguráció) és a küszöbforma itt hangzik el először.</w:t>
      </w:r>
    </w:p>
    <w:p>
      <w:pPr>
        <w:pStyle w:val="Heading2"/>
      </w:pPr>
      <w:r>
        <w:t>A modell közös „boncolása” (25 perc)</w:t>
      </w:r>
    </w:p>
    <w:p>
      <w:pPr>
        <w:spacing w:after="120"/>
      </w:pPr>
      <w:r>
        <w:t>A transzmissziós ábra a modellbemutató HTML „A modell egy ábrán” része. Minden nyílnál ugyanaz a négy kérdés:</w:t>
      </w:r>
    </w:p>
    <w:p>
      <w:pPr>
        <w:spacing w:after="40"/>
        <w:ind w:left="510" w:hanging="283"/>
      </w:pPr>
      <w:r>
        <w:t>1. Mi a közgazdasági mechanizmus?</w:t>
      </w:r>
    </w:p>
    <w:p>
      <w:pPr>
        <w:spacing w:after="40"/>
        <w:ind w:left="510" w:hanging="283"/>
      </w:pPr>
      <w:r>
        <w:t>2. Hol van a modellben?</w:t>
      </w:r>
    </w:p>
    <w:p>
      <w:pPr>
        <w:spacing w:after="40"/>
        <w:ind w:left="510" w:hanging="283"/>
      </w:pPr>
      <w:r>
        <w:t>3. Adatból származik vagy feltevés?</w:t>
      </w:r>
    </w:p>
    <w:p>
      <w:pPr>
        <w:spacing w:after="40"/>
        <w:ind w:left="510" w:hanging="283"/>
      </w:pPr>
      <w:r>
        <w:t>4. Mi történne, ha kivennénk?</w:t>
      </w:r>
    </w:p>
    <w:p>
      <w:pPr>
        <w:spacing w:after="120"/>
      </w:pPr>
      <w:r>
        <w:t xml:space="preserve">Két nyilat külön jelölünk: a </w:t>
      </w:r>
      <w:r>
        <w:rPr>
          <w:b/>
        </w:rPr>
        <w:t>külső keresletet</w:t>
      </w:r>
      <w:r>
        <w:t xml:space="preserve"> (v10) szaggatott vonallal, „megépült, nem validált” felirattal, a </w:t>
      </w:r>
      <w:r>
        <w:rPr>
          <w:b/>
        </w:rPr>
        <w:t>beszállítói kapcsolatot</w:t>
      </w:r>
      <w:r>
        <w:t xml:space="preserve"> pirossal, mert az IO-alapú mérés hibás. Mindkettő jó bírálói anyag.</w:t>
      </w:r>
    </w:p>
    <w:p>
      <w:pPr>
        <w:pStyle w:val="Heading2"/>
      </w:pPr>
      <w:r>
        <w:t>Egy euró-forgatókönyv (25 perc)</w:t>
      </w:r>
    </w:p>
    <w:p>
      <w:pPr>
        <w:spacing w:after="120"/>
      </w:pPr>
      <w:r>
        <w:t>Az alap szcenárió (SCENARIO=1, OPTEN=0, BK-érvényes): 1–12. negyedév felkészülés forinttal, a 13. negyedévtől közös monetáris politika, a 16. negyedévre −200 bp szuverén és −45 bp banki felár.</w:t>
      </w:r>
    </w:p>
    <w:p>
      <w:pPr>
        <w:spacing w:after="120"/>
      </w:pPr>
      <w:r>
        <w:t>A „mit vártok?” kérdés minden ábra előtt elhangzik. Ez a tippelős lap helyett van: nem kell hozzá papír, és azonnal van min vitatkozni.</w:t>
      </w:r>
    </w:p>
    <w:p>
      <w:pPr>
        <w:spacing w:after="120"/>
      </w:pPr>
      <w:r>
        <w:rPr>
          <w:b/>
        </w:rPr>
        <w:t>Módosítás a ChatGPT-javaslathoz képest:</w:t>
      </w:r>
      <w:r>
        <w:t xml:space="preserve"> az E/D/L-kibocsátást nem egyetlen futásból mutatjuk, mert a szegmens-kibocsátás pontbecslésként nem közölhető. Helyette a KKV–nagyvállalat különbséget két hozzáférési erősségen mutatjuk, egyszer a küszöb alatt és egyszer felette (f30 ábra), vagy a meglévő küszöbfelületet (f28). Így a „mit vártok?” kérdés éppen a küszöbről szól.</w:t>
      </w:r>
    </w:p>
    <w:p>
      <w:pPr>
        <w:pStyle w:val="Heading2"/>
      </w:pPr>
      <w:r>
        <w:t>Mi hajtja a KKV-eredményt? (25 perc)</w:t>
      </w:r>
    </w:p>
    <w:p>
      <w:pPr>
        <w:spacing w:after="120"/>
      </w:pPr>
      <w:r>
        <w:t>A 11 soros tábla a regiszterből előre ki van töltve. Három paraméter bizonyítottan előjelet fordíthat (λ·ω, eps_ces, chi_j), a rho_acc a küszöb szintjét mozgatja. A csoport az utolsó, „prioritás” oszlopot tölti ki, és ott vitatkozik, ahol nem ért egyet az előre kitöltött értékeléssel.</w:t>
      </w:r>
    </w:p>
    <w:p>
      <w:pPr>
        <w:pStyle w:val="Heading2"/>
      </w:pPr>
      <w:r>
        <w:t>Bírálói kör (17 perc)</w:t>
      </w:r>
    </w:p>
    <w:p>
      <w:pPr>
        <w:spacing w:after="120"/>
      </w:pPr>
      <w:r>
        <w:t>Mindenki ugyanarra a négy kérdésre válaszol:</w:t>
      </w:r>
    </w:p>
    <w:p>
      <w:pPr>
        <w:spacing w:after="40"/>
        <w:ind w:left="510" w:hanging="283"/>
      </w:pPr>
      <w:r>
        <w:t>1. Mi a modell legerősebb része?</w:t>
      </w:r>
    </w:p>
    <w:p>
      <w:pPr>
        <w:spacing w:after="40"/>
        <w:ind w:left="510" w:hanging="283"/>
      </w:pPr>
      <w:r>
        <w:t>2. Mi a legsúlyosabb kifogásod?</w:t>
      </w:r>
    </w:p>
    <w:p>
      <w:pPr>
        <w:spacing w:after="40"/>
        <w:ind w:left="510" w:hanging="283"/>
      </w:pPr>
      <w:r>
        <w:t>3. Melyik állítást nem engednéd még publikálni?</w:t>
      </w:r>
    </w:p>
    <w:p>
      <w:pPr>
        <w:spacing w:after="40"/>
        <w:ind w:left="510" w:hanging="283"/>
      </w:pPr>
      <w:r>
        <w:t>4. Milyen teszt győzne meg?</w:t>
      </w:r>
    </w:p>
    <w:p>
      <w:pPr>
        <w:spacing w:after="120"/>
      </w:pPr>
      <w:r>
        <w:t>A kifogásokat nem vitatjuk meg azonnal. Mindenki elmondja a sajátját, utána összevonjuk az ismétlődőket, és négy típusba soroljuk őket: valódi modellhiba · gyenge kalibráció · hiányzó mechanizmus · kommunikációs vagy túlinterpretálási probléma. Ezek nem azonos súlyúak.</w:t>
      </w:r>
    </w:p>
    <w:p>
      <w:pPr>
        <w:pStyle w:val="Heading2"/>
      </w:pPr>
      <w:r>
        <w:t>Döntések és lezárás (8 perc)</w:t>
      </w:r>
    </w:p>
    <w:p>
      <w:pPr>
        <w:spacing w:after="120"/>
      </w:pPr>
      <w:r>
        <w:t>Nem általános benyomásokkal állunk fel. A végén kimondjuk: melyik három állítás védhető most, melyik három csak feltételes, mi az az egy kérdés, amelyre a modell még nem tud válaszolni, és mi a következő fejlesztési prioritás.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Döntés / feladat</w:t>
            </w:r>
          </w:p>
        </w:tc>
        <w:tc>
          <w:tcPr>
            <w:tcW w:type="dxa" w:w="2835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Miért fontos?</w:t>
            </w:r>
          </w:p>
        </w:tc>
        <w:tc>
          <w:tcPr>
            <w:tcW w:type="dxa" w:w="1814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Felelős</w:t>
            </w:r>
          </w:p>
        </w:tc>
        <w:tc>
          <w:tcPr>
            <w:tcW w:type="dxa" w:w="1871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Határidő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Következő modellteszt</w:t>
            </w:r>
          </w:p>
        </w:tc>
        <w:tc>
          <w:tcPr>
            <w:tcW w:type="dxa" w:w="2835"/>
          </w:tcPr>
          <w:p>
            <w:pPr>
              <w:spacing w:after="0"/>
            </w:pPr>
          </w:p>
        </w:tc>
        <w:tc>
          <w:tcPr>
            <w:tcW w:type="dxa" w:w="1814"/>
          </w:tcPr>
          <w:p>
            <w:pPr>
              <w:spacing w:after="0"/>
            </w:pPr>
          </w:p>
        </w:tc>
        <w:tc>
          <w:tcPr>
            <w:tcW w:type="dxa" w:w="1871"/>
          </w:tcPr>
          <w:p>
            <w:pPr>
              <w:spacing w:after="0"/>
            </w:pP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Következő adatbeszerzés</w:t>
            </w:r>
          </w:p>
        </w:tc>
        <w:tc>
          <w:tcPr>
            <w:tcW w:type="dxa" w:w="2835"/>
          </w:tcPr>
          <w:p>
            <w:pPr>
              <w:spacing w:after="0"/>
            </w:pPr>
          </w:p>
        </w:tc>
        <w:tc>
          <w:tcPr>
            <w:tcW w:type="dxa" w:w="1814"/>
          </w:tcPr>
          <w:p>
            <w:pPr>
              <w:spacing w:after="0"/>
            </w:pPr>
          </w:p>
        </w:tc>
        <w:tc>
          <w:tcPr>
            <w:tcW w:type="dxa" w:w="1871"/>
          </w:tcPr>
          <w:p>
            <w:pPr>
              <w:spacing w:after="0"/>
            </w:pP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Kalibrációs javítás</w:t>
            </w:r>
          </w:p>
        </w:tc>
        <w:tc>
          <w:tcPr>
            <w:tcW w:type="dxa" w:w="2835"/>
          </w:tcPr>
          <w:p>
            <w:pPr>
              <w:spacing w:after="0"/>
            </w:pPr>
          </w:p>
        </w:tc>
        <w:tc>
          <w:tcPr>
            <w:tcW w:type="dxa" w:w="1814"/>
          </w:tcPr>
          <w:p>
            <w:pPr>
              <w:spacing w:after="0"/>
            </w:pPr>
          </w:p>
        </w:tc>
        <w:tc>
          <w:tcPr>
            <w:tcW w:type="dxa" w:w="1871"/>
          </w:tcPr>
          <w:p>
            <w:pPr>
              <w:spacing w:after="0"/>
            </w:pP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Prezentációs átírás</w:t>
            </w:r>
          </w:p>
        </w:tc>
        <w:tc>
          <w:tcPr>
            <w:tcW w:type="dxa" w:w="2835"/>
          </w:tcPr>
          <w:p>
            <w:pPr>
              <w:spacing w:after="0"/>
            </w:pPr>
          </w:p>
        </w:tc>
        <w:tc>
          <w:tcPr>
            <w:tcW w:type="dxa" w:w="1814"/>
          </w:tcPr>
          <w:p>
            <w:pPr>
              <w:spacing w:after="0"/>
            </w:pPr>
          </w:p>
        </w:tc>
        <w:tc>
          <w:tcPr>
            <w:tcW w:type="dxa" w:w="1871"/>
          </w:tcPr>
          <w:p>
            <w:pPr>
              <w:spacing w:after="0"/>
            </w:pP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Elvetett irány</w:t>
            </w:r>
          </w:p>
        </w:tc>
        <w:tc>
          <w:tcPr>
            <w:tcW w:type="dxa" w:w="2835"/>
          </w:tcPr>
          <w:p>
            <w:pPr>
              <w:spacing w:after="0"/>
            </w:pPr>
          </w:p>
        </w:tc>
        <w:tc>
          <w:tcPr>
            <w:tcW w:type="dxa" w:w="1814"/>
          </w:tcPr>
          <w:p>
            <w:pPr>
              <w:spacing w:after="0"/>
            </w:pPr>
          </w:p>
        </w:tc>
        <w:tc>
          <w:tcPr>
            <w:tcW w:type="dxa" w:w="1871"/>
          </w:tcPr>
          <w:p>
            <w:pPr>
              <w:spacing w:after="0"/>
            </w:pPr>
          </w:p>
        </w:tc>
      </w:tr>
    </w:tbl>
    <w:p/>
    <w:p>
      <w:pPr>
        <w:pStyle w:val="Heading1"/>
      </w:pPr>
      <w:r>
        <w:t>4. Honnan jött az ötlet: saját javaslat és ChatGPT</w:t>
      </w:r>
    </w:p>
    <w:p>
      <w:pPr>
        <w:spacing w:after="120"/>
      </w:pPr>
      <w:r>
        <w:t>Az első saját javaslat kiscsoportos asztalokra épült. Mivel legfeljebb 8-an leszünk, ezt elvetettük. A ChatGPT-javaslat váza jobb volt: egyetlen kérdést követ végig, és egyetlen futást bont ki teljesen. Ezt vettük alapul, négy ponton módosítva.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05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Elem</w:t>
            </w:r>
          </w:p>
        </w:tc>
        <w:tc>
          <w:tcPr>
            <w:tcW w:type="dxa" w:w="1417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Döntés</w:t>
            </w:r>
          </w:p>
        </w:tc>
        <w:tc>
          <w:tcPr>
            <w:tcW w:type="dxa" w:w="4649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Indoklás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Központi kérdés és nyitó mondat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átvéve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Pontosan a projekt küszöbformás azonosítási álláspontja, kérdésként.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Nyílankénti négy kérdés, hallgatók először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átvéve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8 fős asztalnál ettől nem viszi el két senior a beszélgetést.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„Mit vártok?” minden ábra előtt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átvéve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Kiváltja a saját tippelős lapot, élőben jobb.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„Egyetlen paraméter tökéletesen”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átvéve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Közvetlenül kijelöli a következő horgonyzási feladatot.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Adversarial kör, vita nélkül, 4 típus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átvéve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A kifogások súlya így összevethető.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Záró döntési tábla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átvéve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Felelős és határidő nélkül a workshop eredménye elpárolog.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A 91 paraméteres táblát nem vetítjük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átvéve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Csak a KKV–L különbséget hajtó 10–11 paraméter kerül elő.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E/D/L-eredményábra egy futásból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módosítva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Pontbecslésként nem közölhető (eps_ces és ACCSCALE fordítja az előjelet). Helyette két futás a küszöb két oldalán.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„Beszállítás” nyíl a modellábrán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módosítva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Az IO-mérés hibás, ezért „ismert hibás mérés” jelöléssel marad.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„Külső kereslet” nyíl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módosítva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A v10 nincs validálva: szaggatott nyíl, eredmény nélkül.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Üres paraméter-tábla 5 oszloppal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módosítva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25 percbe nem fér bele. Előre kitöltve visszük, a csoport csak ott vitatkozik, ahol nem ért egyet.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Felkért discussant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saját, megtartva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20"/>
              </w:rPr>
              <w:t>Legalább egy ember alaposan felkészülve jön. Ő nyitja a bírálói kört.</w:t>
            </w:r>
          </w:p>
        </w:tc>
      </w:tr>
    </w:tbl>
    <w:p/>
    <w:p>
      <w:pPr>
        <w:pStyle w:val="Heading1"/>
      </w:pPr>
      <w:r>
        <w:t>5. Anyagok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Anyag</w:t>
            </w:r>
          </w:p>
        </w:tc>
        <w:tc>
          <w:tcPr>
            <w:tcW w:type="dxa" w:w="3572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Hol van</w:t>
            </w:r>
          </w:p>
        </w:tc>
        <w:tc>
          <w:tcPr>
            <w:tcW w:type="dxa" w:w="2551"/>
            <w:shd w:val="clear" w:color="auto" w:fill="E3EBFF"/>
          </w:tcPr>
          <w:p>
            <w:pPr>
              <w:spacing w:after="0"/>
            </w:pPr>
            <w:r>
              <w:rPr>
                <w:b/>
                <w:sz w:val="19"/>
              </w:rPr>
              <w:t>Állapot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Modellbemutató (HTML, blokkok egyenletekkel)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20"/>
              </w:rPr>
              <w:t>docs/eredmenyek/2026-10-05_workshop_bemutato.html + Artifact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kész; résztvevőkkel meg kell osztani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Discussant-anyag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20"/>
              </w:rPr>
              <w:t>docs/terv/2026-10-05_workshop_discussant_anyag.md + Claude Docs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kész; pénteken kiküldeni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Paraméter-priorizáló tábla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20"/>
              </w:rPr>
              <w:t>docs/terv/2026-10-05_workshop_parameter_prioritas.md + Claude Docs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kész; a workshopon élőben töltjük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Gondolkodási pontok blokkonként (22 kérdés)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20"/>
              </w:rPr>
              <w:t>docs/terv/2026-10-05_workshop_gondolkodasi_pontok.md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kész; moderátori háttér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Euró-pálya ábrák (f29, f30)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20"/>
              </w:rPr>
              <w:t>src/3_abrak/s29_workshop_euro_palya.m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script kész; Dynare-es kolléga futtatja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v10 ellenőrzés (t56)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20"/>
              </w:rPr>
              <w:t>src/modell/1_fo_vonal_jv/futtato/check_v10_foreign.m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script kész; Dynare-es kolléga futtatja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6 bevezető dia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20"/>
              </w:rPr>
              <w:t>—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még nem készült</w:t>
            </w:r>
          </w:p>
        </w:tc>
      </w:tr>
    </w:tbl>
    <w:p/>
    <w:p>
      <w:pPr>
        <w:pStyle w:val="Heading1"/>
      </w:pPr>
      <w:r>
        <w:t>6. Előkészítési teendők hétfőig</w:t>
      </w:r>
    </w:p>
    <w:p>
      <w:pPr>
        <w:spacing w:after="40"/>
        <w:ind w:left="510" w:hanging="283"/>
      </w:pPr>
      <w:r>
        <w:t>☐  A discussant felkérése, és az anyag kiküldése pénteken.</w:t>
      </w:r>
    </w:p>
    <w:p>
      <w:pPr>
        <w:spacing w:after="40"/>
        <w:ind w:left="510" w:hanging="283"/>
      </w:pPr>
      <w:r>
        <w:t>☐  A Dynare-es kolléga lefuttatja a két scriptet (s29 és check_v10_foreign). Ha nem sikerül, a forgatókönyv-blokk a meglévő f27/f28 küszöbfelületekre és a GDP-sávra épül.</w:t>
      </w:r>
    </w:p>
    <w:p>
      <w:pPr>
        <w:spacing w:after="40"/>
        <w:ind w:left="510" w:hanging="283"/>
      </w:pPr>
      <w:r>
        <w:t>☐  A t57 számai csak regiszter-sor és őr után mehetnek diára (a projekt prezentációs szabálya).</w:t>
      </w:r>
    </w:p>
    <w:p>
      <w:pPr>
        <w:spacing w:after="40"/>
        <w:ind w:left="510" w:hanging="283"/>
      </w:pPr>
      <w:r>
        <w:t>☐  Egyeztetés az MKIK-val arról, mit lehet külső közönségnek megmutatni.</w:t>
      </w:r>
    </w:p>
    <w:p>
      <w:pPr>
        <w:spacing w:after="40"/>
        <w:ind w:left="510" w:hanging="283"/>
      </w:pPr>
      <w:r>
        <w:t>☐  A bemutató Artifact és a két Docs-dokumentum megosztása a résztvevőkkel.</w:t>
      </w:r>
    </w:p>
    <w:p>
      <w:pPr>
        <w:spacing w:after="40"/>
        <w:ind w:left="510" w:hanging="283"/>
      </w:pPr>
      <w:r>
        <w:t>☐  A MATLAB-licenc megújítása (2026-09-30-án lejárati figyelmeztetés jelent meg).</w:t>
      </w:r>
    </w:p>
    <w:p>
      <w:pPr>
        <w:spacing w:after="40"/>
        <w:ind w:left="510" w:hanging="283"/>
      </w:pPr>
      <w:r>
        <w:t>☐  Jegyzetelő kijelölése; a kimenetek a docs/terv/2026-08-21_korlatok_es_teendok.md-be kerülnek.</w:t>
      </w:r>
    </w:p>
    <w:p>
      <w:pPr>
        <w:pStyle w:val="Heading1"/>
      </w:pPr>
      <w:r>
        <w:t>7. Amit nem mutatunk meg</w:t>
      </w:r>
    </w:p>
    <w:p>
      <w:pPr>
        <w:pStyle w:val="ListBullet"/>
      </w:pPr>
      <w:r>
        <w:t>Szegmens-szintű kibocsátás pontbecslésként.</w:t>
      </w:r>
    </w:p>
    <w:p>
      <w:pPr>
        <w:pStyle w:val="ListBullet"/>
      </w:pPr>
      <w:r>
        <w:t>Az OPTEN=1/2/3 ágak számai (terminálisan nem BK-stabilak).</w:t>
      </w:r>
    </w:p>
    <w:p>
      <w:pPr>
        <w:pStyle w:val="ListBullet"/>
      </w:pPr>
      <w:r>
        <w:t>A t24 / s_kkv IO-számok és a „t_S &gt; t_L” feltevés eredményként.</w:t>
      </w:r>
    </w:p>
    <w:p>
      <w:pPr>
        <w:pStyle w:val="ListBullet"/>
      </w:pPr>
      <w:r>
        <w:t>A v10 külföldi csatorna bármely eredménye, amíg a t56 nem zöld.</w:t>
      </w:r>
    </w:p>
    <w:p>
      <w:pPr>
        <w:pStyle w:val="ListBullet"/>
      </w:pPr>
      <w:r>
        <w:t>A CALIB26 (t55) eredményei, mert nincs sem állítás, sem őr a regiszterben.</w:t>
      </w:r>
    </w:p>
    <w:p>
      <w:pPr>
        <w:pStyle w:val="ListBullet"/>
      </w:pPr>
      <w:r>
        <w:t>Az F05 („a szuverén csatorna viszi az euróhatást”) tényként: csak az első negyedévet méri, amikor a banki felár még nem mozdult. Feltételesen fogalmazzuk.</w:t>
      </w:r>
    </w:p>
    <w:p>
      <w:pPr>
        <w:pStyle w:val="Heading1"/>
      </w:pPr>
      <w:r>
        <w:t>8. A négy nyitott kérdés</w:t>
      </w:r>
    </w:p>
    <w:p>
      <w:pPr>
        <w:spacing w:after="40"/>
        <w:ind w:left="510" w:hanging="283"/>
      </w:pPr>
      <w:r>
        <w:t xml:space="preserve">1. </w:t>
      </w:r>
      <w:r>
        <w:rPr>
          <w:b/>
        </w:rPr>
        <w:t>A −200 bp horgonya:</w:t>
      </w:r>
      <w:r>
        <w:t xml:space="preserve"> melyik csatlakozási tapasztalat (szlovák, balti, horvát) és milyen módszer?</w:t>
      </w:r>
    </w:p>
    <w:p>
      <w:pPr>
        <w:spacing w:after="40"/>
        <w:ind w:left="510" w:hanging="283"/>
      </w:pPr>
      <w:r>
        <w:t xml:space="preserve">2. </w:t>
      </w:r>
      <w:r>
        <w:rPr>
          <w:b/>
        </w:rPr>
        <w:t>A λ·ω azonosítása:</w:t>
      </w:r>
      <w:r>
        <w:t xml:space="preserve"> van-e kvázi-kísérlet, amely a csatorna strukturális erejét méri, nem a program teljes hatását?</w:t>
      </w:r>
    </w:p>
    <w:p>
      <w:pPr>
        <w:spacing w:after="40"/>
        <w:ind w:left="510" w:hanging="283"/>
      </w:pPr>
      <w:r>
        <w:t xml:space="preserve">3. </w:t>
      </w:r>
      <w:r>
        <w:rPr>
          <w:b/>
        </w:rPr>
        <w:t>A külföldi csatorna (v10):</w:t>
      </w:r>
      <w:r>
        <w:t xml:space="preserve"> mi a magyar standard ρ(y*), és kell-e két külön exportkeresleti csatorna?</w:t>
      </w:r>
    </w:p>
    <w:p>
      <w:pPr>
        <w:spacing w:after="40"/>
        <w:ind w:left="510" w:hanging="283"/>
      </w:pPr>
      <w:r>
        <w:t xml:space="preserve">4. </w:t>
      </w:r>
      <w:r>
        <w:rPr>
          <w:b/>
        </w:rPr>
        <w:t>Alapértelmezések:</w:t>
      </w:r>
      <w:r>
        <w:t xml:space="preserve"> forrás nélküli aszimmetriánál a szimmetrikus alapág a védhetőbb, vagy a legjobb, de horgonyzatlan becslés?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20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6202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Workshop-terv 2026-10-05</dc:title>
  <dc:subject/>
  <dc:creator>Tamás Mátyás-Péter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