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85FA5"/>
          <w:sz w:val="28"/>
          <w:szCs w:val="28"/>
        </w:rPr>
        <w:t xml:space="preserve">Client 360 Data Integration &amp; Analytics Enablement Simulator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Strategic planning tool for Deputy Head of Data &amp; Solutions | Julius Baer</w:t>
      </w:r>
    </w:p>
    <w:p>
      <w:pPr>
        <w:pStyle w:val="Heading1"/>
      </w:pPr>
      <w:r>
        <w:t xml:space="preserve">Executive Summary</w:t>
      </w:r>
    </w:p>
    <w:p>
      <w:pPr>
        <w:spacing w:after="150"/>
        <w:ind w:firstLine="360"/>
      </w:pPr>
      <w:r>
        <w:t xml:space="preserve">Julius Baer's customer data fragmentation—legacy wealth management systems operating separately from modern digital banking platforms—creates €120M in lost value over 3 years. This digital twin simulator models a phased data integration roadmap, showing that by integrating systems, improving data quality to 95%, and driving analytics adoption to 75%, Julius Baer can unlock €200M+ in new value: €85M from faster RM decision-making, €45M from operational automation, and €50M in avoided regulatory penalties.</w:t>
      </w:r>
    </w:p>
    <w:p>
      <w:pPr>
        <w:pStyle w:val="Heading1"/>
      </w:pPr>
      <w:r>
        <w:t xml:space="preserve">Current State Pain Points</w:t>
      </w:r>
    </w:p>
    <w:tbl>
      <w:tblPr>
        <w:tblW w:type="dxa" w:w="89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30"/>
        <w:gridCol w:w="3330"/>
        <w:gridCol w:w="3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Issue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fragmentation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RMs take 2+ weeks to build 360 client 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 days / inquiry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Poor data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Missing fields &amp; duplicates block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62% completeness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 platform adoption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 tool deployed but underutilized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20% daily use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Compliance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DORA requires audit trails; data gaps create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Risk score: 72/100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</w:pPr>
      <w:r>
        <w:t xml:space="preserve">Target State &amp; Value Creation (3-Year NPV)</w:t>
      </w:r>
    </w:p>
    <w:tbl>
      <w:tblPr>
        <w:tblW w:type="dxa" w:w="89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30"/>
        <w:gridCol w:w="2230"/>
        <w:gridCol w:w="2230"/>
        <w:gridCol w:w="22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Current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Time-to-insight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€50M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RM productivity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20% adoption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75% adoption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€85M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Ops efficiency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15% automated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85% automated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€45M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</w:tcPr>
          <w:p>
            <w:r>
              <w:rPr>
                <w:b/>
                <w:bCs/>
              </w:rPr>
              <w:t xml:space="preserve">Total NPV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</w:tcPr>
          <w:p>
            <w:r>
              <w:rPr>
                <w:b/>
                <w:bCs/>
              </w:rPr>
              <w:t xml:space="preserve">€120M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</w:tcPr>
          <w:p>
            <w:r>
              <w:rPr>
                <w:b/>
                <w:bCs/>
              </w:rPr>
              <w:t xml:space="preserve">€320M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</w:tcPr>
          <w:p>
            <w:r>
              <w:rPr>
                <w:b/>
                <w:bCs/>
                <w:color w:val="3B6D11"/>
              </w:rPr>
              <w:t xml:space="preserve">€200M ↑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</w:pPr>
      <w:r>
        <w:t xml:space="preserve">18-Month Phased Roadmap</w:t>
      </w:r>
    </w:p>
    <w:p>
      <w:pPr>
        <w:spacing w:after="150"/>
        <w:ind w:firstLine="360"/>
      </w:pPr>
      <w:r>
        <w:t xml:space="preserve">Phase 1 (Months 0–6): Legacy WM API layer + data quality assessment. Phase 2 (Months 6–12): Digital banking connector + real-time sync. Phase 3 (Months 12–18): RM training, analytics adoption, compliance automation. Critical path: Data quality (blocks Phase 2 compliance readiness) and RM training (blocks Phase 3 adoption).</w:t>
      </w:r>
    </w:p>
    <w:p>
      <w:pPr>
        <w:pStyle w:val="Heading1"/>
      </w:pPr>
      <w:r>
        <w:t xml:space="preserve">Key Risks &amp; Sensitivity</w:t>
      </w:r>
    </w:p>
    <w:p>
      <w:pPr>
        <w:spacing w:after="150"/>
        <w:ind w:firstLine="360"/>
      </w:pPr>
      <w:r>
        <w:t xml:space="preserve">Adoption rate is highest-volatility assumption (±20% change = ±35% NPV swing). If adoption stalls at 40% (poor change mgmt), 3-year value drops to €170M. Data quality improvements are lower-risk (±12% swing) due to governance automation. Compliance risk mitigation is non-negotiable: each 10% improvement in data quality = €10M avoided penalties. Simulator available at link below—adjust parameters to stress-test roadmap.</w:t>
      </w:r>
    </w:p>
    <w:p>
      <w:pPr>
        <w:pStyle w:val="Heading1"/>
      </w:pPr>
      <w:r>
        <w:t xml:space="preserve">How to Use the Interactive Simulator</w:t>
      </w:r>
    </w:p>
    <w:p>
      <w:pPr>
        <w:spacing w:after="150"/>
        <w:ind w:firstLine="360"/>
      </w:pPr>
      <w:r>
        <w:t xml:space="preserve">Open the attached HTML file in any web browser. Toggle between Current State (baseline), Target State (post-transformation), or Custom Scenario. Adjust integration %, data quality, adoption rate, and business impact parameters. Watch real-time updates to time-to-insight, compliance risk score, and 3-year NPV. Export sensitivity analysis to stress-test assumptions with CFO/Board.</w:t>
      </w:r>
    </w:p>
    <w:p>
      <w:pPr>
        <w:spacing w:after="0" w:before="200"/>
        <w:jc w:val="center"/>
      </w:pPr>
      <w:r>
        <w:rPr>
          <w:i/>
          <w:iCs/>
          <w:color w:val="999999"/>
          <w:sz w:val="18"/>
          <w:szCs w:val="18"/>
        </w:rPr>
        <w:t xml:space="preserve">For questions or to discuss roadmap priorities, please reach out. Simulator built by: Santosh John Mathew | matzjohnsan@gmail.com | +41 765 077 958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120"/>
    </w:pPr>
    <w:rPr>
      <w:rFonts w:ascii="Calibri" w:cs="Calibri" w:eastAsia="Calibri" w:hAnsi="Calibri"/>
      <w:b/>
      <w:bCs/>
      <w:color w:val="185FA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80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2026-06-20T23:44:58.667Z</dcterms:created>
  <dcterms:modified xsi:type="dcterms:W3CDTF">2026-06-20T23:44:58.667Z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