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Relations Summary — Q3 2026</w:t>
      </w:r>
    </w:p>
    <w:p>
      <w:r>
        <w:rPr>
          <w:i/>
        </w:rPr>
        <w:t>Owner: People &amp; Culture · STRICTLY CONFIDENTIAL — People &amp; Culture team only</w:t>
      </w:r>
    </w:p>
    <w:p>
      <w:r>
        <w:t>This report contains aggregated data only. Individual cases are tracked in Peoplebase.</w:t>
      </w:r>
    </w:p>
    <w:p>
      <w:pPr>
        <w:pStyle w:val="Heading2"/>
      </w:pPr>
      <w:r>
        <w:t>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Opened in Q3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Ongoing</w:t>
            </w:r>
          </w:p>
        </w:tc>
      </w:tr>
      <w:tr>
        <w:tc>
          <w:tcPr>
            <w:tcW w:type="dxa" w:w="2160"/>
          </w:tcPr>
          <w:p>
            <w:r>
              <w:t>Formal grievances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Disciplinary cases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Flexible work appeals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t>Attrition</w:t>
      </w:r>
    </w:p>
    <w:p>
      <w:pPr>
        <w:pStyle w:val="ListBullet"/>
      </w:pPr>
      <w:r>
        <w:t>Voluntary attrition (annualised): 9.4%</w:t>
      </w:r>
    </w:p>
    <w:p>
      <w:pPr>
        <w:pStyle w:val="ListBullet"/>
      </w:pPr>
      <w:r>
        <w:t>Regrettable attrition (annualised): 4.1%</w:t>
      </w:r>
    </w:p>
    <w:p>
      <w:pPr>
        <w:pStyle w:val="ListBullet"/>
      </w:pPr>
      <w:r>
        <w:t>Most common reason in exit interviews: compensation (38% of leavers), followed by career growth (25%).</w:t>
      </w:r>
    </w:p>
    <w:p>
      <w:pPr>
        <w:pStyle w:val="Heading2"/>
      </w:pPr>
      <w:r>
        <w:t>Engagement</w:t>
      </w:r>
    </w:p>
    <w:p>
      <w:r>
        <w:t>Employee Net Promoter Score (eNPS) was +31 in Q3, up from +24 in Q2. The lowest-scoring question was about clarity of career paths.</w:t>
      </w:r>
    </w:p>
    <w:p>
      <w:pPr>
        <w:pStyle w:val="Heading2"/>
      </w:pPr>
      <w:r>
        <w:t>Actions</w:t>
      </w:r>
    </w:p>
    <w:p>
      <w:pPr>
        <w:pStyle w:val="ListBullet"/>
      </w:pPr>
      <w:r>
        <w:t>Publish career ladders for Sales and Customer Success by December 2026.</w:t>
      </w:r>
    </w:p>
    <w:p>
      <w:pPr>
        <w:pStyle w:val="ListBullet"/>
      </w:pPr>
      <w:r>
        <w:t>Review Lisbon salary bands against market data before the 2027 band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Relations Summary — Q3 2026</dc:title>
  <dc:subject/>
  <dc:creator>Quillmoor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