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Board Meeting Minutes — 24 September 2026</w:t>
      </w:r>
    </w:p>
    <w:p>
      <w:r>
        <w:rPr>
          <w:i/>
        </w:rPr>
        <w:t>STRICTLY CONFIDENTIAL — Board and leadership team only</w:t>
      </w:r>
    </w:p>
    <w:p>
      <w:r>
        <w:t>Attendees: Frank Adeyemi (CEO), Marta Kowalczyk (CFO), Tomás Ferreira (CTO), Hanna Lindgren (board member), Paolo Ventresca (board member). Minutes taken by Marta Kowalczyk.</w:t>
      </w:r>
    </w:p>
    <w:p>
      <w:pPr>
        <w:pStyle w:val="Heading2"/>
      </w:pPr>
      <w:r>
        <w:t>1. Q3 results</w:t>
      </w:r>
    </w:p>
    <w:p>
      <w:r>
        <w:t>The CFO presented the Q3 results: revenue €6.4M, ARR €24.1M, cash €13.1M. The board noted that ARR is €2.4M below the year-end target.</w:t>
      </w:r>
    </w:p>
    <w:p>
      <w:pPr>
        <w:pStyle w:val="Heading2"/>
      </w:pPr>
      <w:r>
        <w:t>2. Funding</w:t>
      </w:r>
    </w:p>
    <w:p>
      <w:r>
        <w:t>Decision: the board approved exploring a Series C funding round of €35–40M in H1 2027. The CFO will select financial advisors by the end of November 2026.</w:t>
      </w:r>
    </w:p>
    <w:p>
      <w:pPr>
        <w:pStyle w:val="Heading2"/>
      </w:pPr>
      <w:r>
        <w:t>3. Pricing</w:t>
      </w:r>
    </w:p>
    <w:p>
      <w:r>
        <w:t>Decision: the board approved an average 7% list price increase, effective 1 January 2027, for new contracts and renewals. It will be communicated to customers in November 2026.</w:t>
      </w:r>
    </w:p>
    <w:p>
      <w:pPr>
        <w:pStyle w:val="Heading2"/>
      </w:pPr>
      <w:r>
        <w:t>4. Project Heron</w:t>
      </w:r>
    </w:p>
    <w:p>
      <w:r>
        <w:t>Decision: the board authorised the CEO to submit a non-binding offer to acquire a Lisbon-based OCR start-up (codename "Heron") for up to €6.5M. Due diligence to be completed by January 2027.</w:t>
      </w:r>
    </w:p>
    <w:p>
      <w:pPr>
        <w:pStyle w:val="Heading2"/>
      </w:pPr>
      <w:r>
        <w:t>5. Lisbon office expansion</w:t>
      </w:r>
    </w:p>
    <w:p>
      <w:r>
        <w:t>Decision: approved leasing an additional floor in the Lisbon building from Q2 2027.</w:t>
      </w:r>
    </w:p>
    <w:p>
      <w:pPr>
        <w:pStyle w:val="Heading2"/>
      </w:pPr>
      <w:r>
        <w:t>6. Key customer risk</w:t>
      </w:r>
    </w:p>
    <w:p>
      <w:r>
        <w:t>Kestrel Health Partners is at risk after the August outage. The CEO is the executive sponsor; service credits of €38,000 were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Board Meeting Minutes — 24 September 2026</dc:title>
  <dc:subject/>
  <dc:creator>Quillmoor Software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