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D751" w14:textId="77777777" w:rsidR="002D07F6" w:rsidRDefault="00CB41F8">
      <w:pPr>
        <w:pStyle w:val="Title"/>
      </w:pPr>
      <w:r>
        <w:t>Aurelia Beauty Group: Supplier Disruption Brief</w:t>
      </w:r>
    </w:p>
    <w:p w14:paraId="2BC82082" w14:textId="77777777" w:rsidR="002D07F6" w:rsidRDefault="00CB41F8">
      <w:r>
        <w:rPr>
          <w:i/>
          <w:color w:val="606277"/>
          <w:sz w:val="26"/>
        </w:rPr>
        <w:t>Executive situation room | Prestige packaging and component supply | August 17,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D07F6" w14:paraId="35951BAB" w14:textId="77777777">
        <w:trPr>
          <w:jc w:val="center"/>
        </w:trPr>
        <w:tc>
          <w:tcPr>
            <w:tcW w:w="5083" w:type="dxa"/>
            <w:shd w:val="clear" w:color="auto" w:fill="06123B"/>
            <w:vAlign w:val="center"/>
          </w:tcPr>
          <w:p w14:paraId="1EE14B3C" w14:textId="77777777" w:rsidR="002D07F6" w:rsidRDefault="00CB41F8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5083" w:type="dxa"/>
            <w:shd w:val="clear" w:color="auto" w:fill="E8EBFF"/>
            <w:vAlign w:val="center"/>
          </w:tcPr>
          <w:p w14:paraId="441004CE" w14:textId="77777777" w:rsidR="002D07F6" w:rsidRDefault="00CB41F8">
            <w:r>
              <w:rPr>
                <w:sz w:val="18"/>
              </w:rPr>
              <w:t>Prepare a negotiation position for Orion Luxe Components before the August 27 supplier meeting. Protect the Q4 Radiant Veil launch while challenging unsupported freight and tariff pass-throughs.</w:t>
            </w:r>
          </w:p>
        </w:tc>
      </w:tr>
    </w:tbl>
    <w:p w14:paraId="345337E1" w14:textId="77777777" w:rsidR="002D07F6" w:rsidRDefault="002D07F6"/>
    <w:p w14:paraId="77937486" w14:textId="77777777" w:rsidR="002D07F6" w:rsidRDefault="00CB41F8">
      <w:pPr>
        <w:pStyle w:val="Heading1"/>
      </w:pPr>
      <w:r>
        <w:t>What is happening</w:t>
      </w:r>
    </w:p>
    <w:p w14:paraId="6EEA24F3" w14:textId="77777777" w:rsidR="002D07F6" w:rsidRDefault="00CB41F8">
      <w:pPr>
        <w:pStyle w:val="ListBullet"/>
      </w:pPr>
      <w:r>
        <w:t>Orion supplies aluminum pump collars, actuator assemblies, and decorated glass bottles for Aurelia's Radiant Veil prestige skincare launch.</w:t>
      </w:r>
    </w:p>
    <w:p w14:paraId="27986A40" w14:textId="77777777" w:rsidR="002D07F6" w:rsidRDefault="00CB41F8">
      <w:pPr>
        <w:pStyle w:val="ListBullet"/>
      </w:pPr>
      <w:r>
        <w:t>Orion proposes a temporary 7.9% blended price increase, citing Red Sea rerouting, war-risk premiums, and U.S. tariffs.</w:t>
      </w:r>
    </w:p>
    <w:p w14:paraId="1D30E95A" w14:textId="77777777" w:rsidR="002D07F6" w:rsidRDefault="00CB41F8">
      <w:pPr>
        <w:pStyle w:val="ListBullet"/>
      </w:pPr>
      <w:r>
        <w:t>Three launch-critical SKUs have less than eight weeks of supply. A two-week slip would jeopardize retailer set dates.</w:t>
      </w:r>
    </w:p>
    <w:p w14:paraId="7874DBD6" w14:textId="77777777" w:rsidR="002D07F6" w:rsidRDefault="00CB41F8">
      <w:pPr>
        <w:pStyle w:val="ListBullet"/>
      </w:pPr>
      <w:r>
        <w:t>Aurelia has one qualified alternate for glass bottles, but no fully qualified alternate for the pump collar until November 2026.</w:t>
      </w:r>
    </w:p>
    <w:p w14:paraId="36229F26" w14:textId="77777777" w:rsidR="002D07F6" w:rsidRDefault="00CB41F8">
      <w:pPr>
        <w:pStyle w:val="Heading1"/>
      </w:pPr>
      <w:r>
        <w:t>Authoritative external signals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888"/>
        <w:gridCol w:w="1872"/>
        <w:gridCol w:w="3024"/>
      </w:tblGrid>
      <w:tr w:rsidR="002D07F6" w14:paraId="7D233EA8" w14:textId="77777777">
        <w:trPr>
          <w:jc w:val="center"/>
        </w:trPr>
        <w:tc>
          <w:tcPr>
            <w:tcW w:w="1584" w:type="dxa"/>
            <w:shd w:val="clear" w:color="auto" w:fill="06123B"/>
            <w:vAlign w:val="center"/>
          </w:tcPr>
          <w:p w14:paraId="694038C3" w14:textId="77777777" w:rsidR="002D07F6" w:rsidRDefault="00CB41F8"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w="3888" w:type="dxa"/>
            <w:shd w:val="clear" w:color="auto" w:fill="06123B"/>
            <w:vAlign w:val="center"/>
          </w:tcPr>
          <w:p w14:paraId="5FCE8760" w14:textId="77777777" w:rsidR="002D07F6" w:rsidRDefault="00CB41F8">
            <w:r>
              <w:rPr>
                <w:b/>
                <w:color w:val="FFFFFF"/>
                <w:sz w:val="16"/>
              </w:rPr>
              <w:t>Verified fact</w:t>
            </w:r>
          </w:p>
        </w:tc>
        <w:tc>
          <w:tcPr>
            <w:tcW w:w="1872" w:type="dxa"/>
            <w:shd w:val="clear" w:color="auto" w:fill="06123B"/>
            <w:vAlign w:val="center"/>
          </w:tcPr>
          <w:p w14:paraId="112C555B" w14:textId="77777777" w:rsidR="002D07F6" w:rsidRDefault="00CB41F8"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3024" w:type="dxa"/>
            <w:shd w:val="clear" w:color="auto" w:fill="06123B"/>
            <w:vAlign w:val="center"/>
          </w:tcPr>
          <w:p w14:paraId="6CD3319D" w14:textId="77777777" w:rsidR="002D07F6" w:rsidRDefault="00CB41F8">
            <w:r>
              <w:rPr>
                <w:b/>
                <w:color w:val="FFFFFF"/>
                <w:sz w:val="16"/>
              </w:rPr>
              <w:t>How to use</w:t>
            </w:r>
          </w:p>
        </w:tc>
      </w:tr>
      <w:tr w:rsidR="002D07F6" w14:paraId="7E459FFE" w14:textId="77777777">
        <w:trPr>
          <w:jc w:val="center"/>
        </w:trPr>
        <w:tc>
          <w:tcPr>
            <w:tcW w:w="1584" w:type="dxa"/>
            <w:vAlign w:val="center"/>
          </w:tcPr>
          <w:p w14:paraId="4C279F27" w14:textId="77777777" w:rsidR="002D07F6" w:rsidRDefault="00CB41F8">
            <w:r>
              <w:rPr>
                <w:sz w:val="16"/>
              </w:rPr>
              <w:t>Red Sea security</w:t>
            </w:r>
          </w:p>
        </w:tc>
        <w:tc>
          <w:tcPr>
            <w:tcW w:w="3888" w:type="dxa"/>
            <w:vAlign w:val="center"/>
          </w:tcPr>
          <w:p w14:paraId="27117934" w14:textId="77777777" w:rsidR="002D07F6" w:rsidRDefault="00CB41F8">
            <w:r>
              <w:rPr>
                <w:sz w:val="16"/>
              </w:rPr>
              <w:t>IMO records 61 confirmed incidents affecting international shipping since Jan. 10, 2024; UN reporting was renewed Jan. 14, 2026.</w:t>
            </w:r>
          </w:p>
        </w:tc>
        <w:tc>
          <w:tcPr>
            <w:tcW w:w="1872" w:type="dxa"/>
            <w:vAlign w:val="center"/>
          </w:tcPr>
          <w:p w14:paraId="64639827" w14:textId="77777777" w:rsidR="002D07F6" w:rsidRDefault="00CB41F8">
            <w:r>
              <w:rPr>
                <w:sz w:val="16"/>
              </w:rPr>
              <w:t>IMO, Red Sea area</w:t>
            </w:r>
          </w:p>
        </w:tc>
        <w:tc>
          <w:tcPr>
            <w:tcW w:w="3024" w:type="dxa"/>
            <w:vAlign w:val="center"/>
          </w:tcPr>
          <w:p w14:paraId="5BD10F52" w14:textId="77777777" w:rsidR="002D07F6" w:rsidRDefault="00CB41F8">
            <w:r>
              <w:rPr>
                <w:sz w:val="16"/>
              </w:rPr>
              <w:t>Current risk signal; does not mean Suez is closed.</w:t>
            </w:r>
          </w:p>
        </w:tc>
      </w:tr>
      <w:tr w:rsidR="002D07F6" w14:paraId="7E0F9FA2" w14:textId="77777777">
        <w:trPr>
          <w:jc w:val="center"/>
        </w:trPr>
        <w:tc>
          <w:tcPr>
            <w:tcW w:w="1584" w:type="dxa"/>
            <w:shd w:val="clear" w:color="auto" w:fill="F0F1F7"/>
            <w:vAlign w:val="center"/>
          </w:tcPr>
          <w:p w14:paraId="5017BFFE" w14:textId="77777777" w:rsidR="002D07F6" w:rsidRDefault="00CB41F8">
            <w:r>
              <w:rPr>
                <w:sz w:val="16"/>
              </w:rPr>
              <w:t>Trade exposure</w:t>
            </w:r>
          </w:p>
        </w:tc>
        <w:tc>
          <w:tcPr>
            <w:tcW w:w="3888" w:type="dxa"/>
            <w:shd w:val="clear" w:color="auto" w:fill="F0F1F7"/>
            <w:vAlign w:val="center"/>
          </w:tcPr>
          <w:p w14:paraId="3A2D62B1" w14:textId="77777777" w:rsidR="002D07F6" w:rsidRDefault="00CB41F8">
            <w:r>
              <w:rPr>
                <w:sz w:val="16"/>
              </w:rPr>
              <w:t>Suez handled about 12%-15% of global trade in 2023. During the early disruption, canal trade volume fell 42% over two months.</w:t>
            </w:r>
          </w:p>
        </w:tc>
        <w:tc>
          <w:tcPr>
            <w:tcW w:w="1872" w:type="dxa"/>
            <w:shd w:val="clear" w:color="auto" w:fill="F0F1F7"/>
            <w:vAlign w:val="center"/>
          </w:tcPr>
          <w:p w14:paraId="7A2FFDF5" w14:textId="77777777" w:rsidR="002D07F6" w:rsidRDefault="00CB41F8">
            <w:r>
              <w:rPr>
                <w:sz w:val="16"/>
              </w:rPr>
              <w:t>UNCTAD, Jan. 26, 2024</w:t>
            </w:r>
          </w:p>
        </w:tc>
        <w:tc>
          <w:tcPr>
            <w:tcW w:w="3024" w:type="dxa"/>
            <w:shd w:val="clear" w:color="auto" w:fill="F0F1F7"/>
            <w:vAlign w:val="center"/>
          </w:tcPr>
          <w:p w14:paraId="1E2EA228" w14:textId="77777777" w:rsidR="002D07F6" w:rsidRDefault="00CB41F8">
            <w:r>
              <w:rPr>
                <w:sz w:val="16"/>
              </w:rPr>
              <w:t>Historical scale and stress-test context.</w:t>
            </w:r>
          </w:p>
        </w:tc>
      </w:tr>
      <w:tr w:rsidR="002D07F6" w14:paraId="40968458" w14:textId="77777777">
        <w:trPr>
          <w:jc w:val="center"/>
        </w:trPr>
        <w:tc>
          <w:tcPr>
            <w:tcW w:w="1584" w:type="dxa"/>
            <w:vAlign w:val="center"/>
          </w:tcPr>
          <w:p w14:paraId="386C1884" w14:textId="77777777" w:rsidR="002D07F6" w:rsidRDefault="00CB41F8">
            <w:r>
              <w:rPr>
                <w:sz w:val="16"/>
              </w:rPr>
              <w:t>Routing effect</w:t>
            </w:r>
          </w:p>
        </w:tc>
        <w:tc>
          <w:tcPr>
            <w:tcW w:w="3888" w:type="dxa"/>
            <w:vAlign w:val="center"/>
          </w:tcPr>
          <w:p w14:paraId="25F553CD" w14:textId="77777777" w:rsidR="002D07F6" w:rsidRDefault="00CB41F8">
            <w:r>
              <w:rPr>
                <w:sz w:val="16"/>
              </w:rPr>
              <w:t>Geopolitical rerouting helped drive nearly 6% ton-mile growth in 2024 and contributed to longer journeys, skipped port calls, congestion, and higher costs.</w:t>
            </w:r>
          </w:p>
        </w:tc>
        <w:tc>
          <w:tcPr>
            <w:tcW w:w="1872" w:type="dxa"/>
            <w:vAlign w:val="center"/>
          </w:tcPr>
          <w:p w14:paraId="4F9C9CC3" w14:textId="77777777" w:rsidR="002D07F6" w:rsidRDefault="00CB41F8">
            <w:r>
              <w:rPr>
                <w:sz w:val="16"/>
              </w:rPr>
              <w:t>UNCTAD, Sept. 24, 2025</w:t>
            </w:r>
          </w:p>
        </w:tc>
        <w:tc>
          <w:tcPr>
            <w:tcW w:w="3024" w:type="dxa"/>
            <w:vAlign w:val="center"/>
          </w:tcPr>
          <w:p w14:paraId="4636D502" w14:textId="77777777" w:rsidR="002D07F6" w:rsidRDefault="00CB41F8">
            <w:r>
              <w:rPr>
                <w:sz w:val="16"/>
              </w:rPr>
              <w:t>Supports route-specific lead-time and cost review.</w:t>
            </w:r>
          </w:p>
        </w:tc>
      </w:tr>
      <w:tr w:rsidR="002D07F6" w14:paraId="00A6B545" w14:textId="77777777">
        <w:trPr>
          <w:jc w:val="center"/>
        </w:trPr>
        <w:tc>
          <w:tcPr>
            <w:tcW w:w="1584" w:type="dxa"/>
            <w:shd w:val="clear" w:color="auto" w:fill="F0F1F7"/>
            <w:vAlign w:val="center"/>
          </w:tcPr>
          <w:p w14:paraId="695FFCE8" w14:textId="77777777" w:rsidR="002D07F6" w:rsidRDefault="00CB41F8">
            <w:r>
              <w:rPr>
                <w:sz w:val="16"/>
              </w:rPr>
              <w:t>Steel/aluminum</w:t>
            </w:r>
          </w:p>
        </w:tc>
        <w:tc>
          <w:tcPr>
            <w:tcW w:w="3888" w:type="dxa"/>
            <w:shd w:val="clear" w:color="auto" w:fill="F0F1F7"/>
            <w:vAlign w:val="center"/>
          </w:tcPr>
          <w:p w14:paraId="2276416D" w14:textId="77777777" w:rsidR="002D07F6" w:rsidRDefault="00CB41F8">
            <w:r>
              <w:rPr>
                <w:sz w:val="16"/>
              </w:rPr>
              <w:t>Covered steel, aluminum, and derivative articles can face an additional 50% Section 232 duty, effective June 4, 2025.</w:t>
            </w:r>
          </w:p>
        </w:tc>
        <w:tc>
          <w:tcPr>
            <w:tcW w:w="1872" w:type="dxa"/>
            <w:shd w:val="clear" w:color="auto" w:fill="F0F1F7"/>
            <w:vAlign w:val="center"/>
          </w:tcPr>
          <w:p w14:paraId="2DB8B0B7" w14:textId="77777777" w:rsidR="002D07F6" w:rsidRDefault="00CB41F8">
            <w:r>
              <w:rPr>
                <w:sz w:val="16"/>
              </w:rPr>
              <w:t>White House proclamation; USITC HTS</w:t>
            </w:r>
          </w:p>
        </w:tc>
        <w:tc>
          <w:tcPr>
            <w:tcW w:w="3024" w:type="dxa"/>
            <w:shd w:val="clear" w:color="auto" w:fill="F0F1F7"/>
            <w:vAlign w:val="center"/>
          </w:tcPr>
          <w:p w14:paraId="21602636" w14:textId="77777777" w:rsidR="002D07F6" w:rsidRDefault="00CB41F8">
            <w:r>
              <w:rPr>
                <w:sz w:val="16"/>
              </w:rPr>
              <w:t>Applicability depends on HTS classification, origin, and metal-content value.</w:t>
            </w:r>
          </w:p>
        </w:tc>
      </w:tr>
      <w:tr w:rsidR="002D07F6" w14:paraId="6BC18332" w14:textId="77777777">
        <w:trPr>
          <w:jc w:val="center"/>
        </w:trPr>
        <w:tc>
          <w:tcPr>
            <w:tcW w:w="1584" w:type="dxa"/>
            <w:vAlign w:val="center"/>
          </w:tcPr>
          <w:p w14:paraId="1684CEC4" w14:textId="77777777" w:rsidR="002D07F6" w:rsidRDefault="00CB41F8">
            <w:r>
              <w:rPr>
                <w:sz w:val="16"/>
              </w:rPr>
              <w:t>China Section 301</w:t>
            </w:r>
          </w:p>
        </w:tc>
        <w:tc>
          <w:tcPr>
            <w:tcW w:w="3888" w:type="dxa"/>
            <w:vAlign w:val="center"/>
          </w:tcPr>
          <w:p w14:paraId="7FFCFF9B" w14:textId="77777777" w:rsidR="002D07F6" w:rsidRDefault="00CB41F8">
            <w:r>
              <w:rPr>
                <w:sz w:val="16"/>
              </w:rPr>
              <w:t>Enumerated products of China under HTS 9903.88.03 can face ordinary duty plus 25%, subject to product-specific scope and exclusions.</w:t>
            </w:r>
          </w:p>
        </w:tc>
        <w:tc>
          <w:tcPr>
            <w:tcW w:w="1872" w:type="dxa"/>
            <w:vAlign w:val="center"/>
          </w:tcPr>
          <w:p w14:paraId="27E6D0D0" w14:textId="77777777" w:rsidR="002D07F6" w:rsidRDefault="00CB41F8">
            <w:r>
              <w:rPr>
                <w:sz w:val="16"/>
              </w:rPr>
              <w:t>USTR; USITC HTS</w:t>
            </w:r>
          </w:p>
        </w:tc>
        <w:tc>
          <w:tcPr>
            <w:tcW w:w="3024" w:type="dxa"/>
            <w:vAlign w:val="center"/>
          </w:tcPr>
          <w:p w14:paraId="5CE58238" w14:textId="77777777" w:rsidR="002D07F6" w:rsidRDefault="00CB41F8">
            <w:r>
              <w:rPr>
                <w:sz w:val="16"/>
              </w:rPr>
              <w:t>Confirm exact ten-digit code and exclusion status.</w:t>
            </w:r>
          </w:p>
        </w:tc>
      </w:tr>
      <w:tr w:rsidR="002D07F6" w14:paraId="56F7E1DB" w14:textId="77777777">
        <w:trPr>
          <w:jc w:val="center"/>
        </w:trPr>
        <w:tc>
          <w:tcPr>
            <w:tcW w:w="1584" w:type="dxa"/>
            <w:shd w:val="clear" w:color="auto" w:fill="F0F1F7"/>
            <w:vAlign w:val="center"/>
          </w:tcPr>
          <w:p w14:paraId="79D301BB" w14:textId="77777777" w:rsidR="002D07F6" w:rsidRDefault="00CB41F8">
            <w:r>
              <w:rPr>
                <w:sz w:val="16"/>
              </w:rPr>
              <w:t>Expired surcharge</w:t>
            </w:r>
          </w:p>
        </w:tc>
        <w:tc>
          <w:tcPr>
            <w:tcW w:w="3888" w:type="dxa"/>
            <w:shd w:val="clear" w:color="auto" w:fill="F0F1F7"/>
            <w:vAlign w:val="center"/>
          </w:tcPr>
          <w:p w14:paraId="2EF66AC8" w14:textId="77777777" w:rsidR="002D07F6" w:rsidRDefault="00CB41F8">
            <w:r>
              <w:rPr>
                <w:sz w:val="16"/>
              </w:rPr>
              <w:t>The temporary Section 122 surcharge ended July 24, 2026 absent extension; Sections 232 and 301 remained unaffected.</w:t>
            </w:r>
          </w:p>
        </w:tc>
        <w:tc>
          <w:tcPr>
            <w:tcW w:w="1872" w:type="dxa"/>
            <w:shd w:val="clear" w:color="auto" w:fill="F0F1F7"/>
            <w:vAlign w:val="center"/>
          </w:tcPr>
          <w:p w14:paraId="3E6B3A45" w14:textId="77777777" w:rsidR="002D07F6" w:rsidRDefault="00CB41F8">
            <w:r>
              <w:rPr>
                <w:sz w:val="16"/>
              </w:rPr>
              <w:t>White House, Feb. 20, 2026</w:t>
            </w:r>
          </w:p>
        </w:tc>
        <w:tc>
          <w:tcPr>
            <w:tcW w:w="3024" w:type="dxa"/>
            <w:shd w:val="clear" w:color="auto" w:fill="F0F1F7"/>
            <w:vAlign w:val="center"/>
          </w:tcPr>
          <w:p w14:paraId="32A74B13" w14:textId="77777777" w:rsidR="002D07F6" w:rsidRDefault="00CB41F8">
            <w:r>
              <w:rPr>
                <w:sz w:val="16"/>
              </w:rPr>
              <w:t>Do not accept a generic 10% '2026 import surcharge' after expiry.</w:t>
            </w:r>
          </w:p>
        </w:tc>
      </w:tr>
    </w:tbl>
    <w:p w14:paraId="7EA0731C" w14:textId="77777777" w:rsidR="002D07F6" w:rsidRDefault="002D07F6"/>
    <w:p w14:paraId="6C6CF03B" w14:textId="77777777" w:rsidR="002D07F6" w:rsidRDefault="00CB41F8">
      <w:pPr>
        <w:pStyle w:val="Heading1"/>
      </w:pPr>
      <w:r>
        <w:t>Scenario assumptions for the training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D07F6" w14:paraId="7D2C2B7F" w14:textId="77777777">
        <w:trPr>
          <w:jc w:val="center"/>
        </w:trPr>
        <w:tc>
          <w:tcPr>
            <w:tcW w:w="5083" w:type="dxa"/>
            <w:shd w:val="clear" w:color="auto" w:fill="06123B"/>
            <w:vAlign w:val="center"/>
          </w:tcPr>
          <w:p w14:paraId="2A48F967" w14:textId="77777777" w:rsidR="002D07F6" w:rsidRDefault="00CB41F8"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5083" w:type="dxa"/>
            <w:shd w:val="clear" w:color="auto" w:fill="FFF2D8"/>
            <w:vAlign w:val="center"/>
          </w:tcPr>
          <w:p w14:paraId="4C94A288" w14:textId="77777777" w:rsidR="002D07F6" w:rsidRDefault="00CB41F8">
            <w:r>
              <w:rPr>
                <w:sz w:val="18"/>
              </w:rPr>
              <w:t xml:space="preserve">The numbers below are fictional scenario inputs, not current </w:t>
            </w:r>
            <w:r>
              <w:rPr>
                <w:sz w:val="18"/>
              </w:rPr>
              <w:lastRenderedPageBreak/>
              <w:t>market quotations.</w:t>
            </w:r>
          </w:p>
        </w:tc>
      </w:tr>
    </w:tbl>
    <w:p w14:paraId="228D9D27" w14:textId="77777777" w:rsidR="002D07F6" w:rsidRDefault="002D07F6"/>
    <w:p w14:paraId="2DD297F1" w14:textId="77777777" w:rsidR="002D07F6" w:rsidRDefault="00CB41F8">
      <w:pPr>
        <w:pStyle w:val="ListBullet"/>
      </w:pPr>
      <w:r>
        <w:t>Orion's Egypt-to-Newark lane normally uses Suez. Its current proposal assumes Cape rerouting adds 10-14 days and 32% to ocean freight.</w:t>
      </w:r>
    </w:p>
    <w:p w14:paraId="031BC9ED" w14:textId="77777777" w:rsidR="002D07F6" w:rsidRDefault="00CB41F8">
      <w:pPr>
        <w:pStyle w:val="ListBullet"/>
      </w:pPr>
      <w:r>
        <w:t>The supplier requests 100% pass-through of tariffs and freight with no cap, audit right, or downward adjustment.</w:t>
      </w:r>
    </w:p>
    <w:p w14:paraId="5C1E469D" w14:textId="77777777" w:rsidR="002D07F6" w:rsidRDefault="00CB41F8">
      <w:pPr>
        <w:pStyle w:val="ListBullet"/>
      </w:pPr>
      <w:r>
        <w:t>Aurelia's should-cost view supports some tariff exposure for Chinese plastic actuators and some metal-content duty for Italian aluminum collars, but not Orion's full claim.</w:t>
      </w:r>
    </w:p>
    <w:p w14:paraId="1087D3C0" w14:textId="77777777" w:rsidR="002D07F6" w:rsidRDefault="00CB41F8">
      <w:pPr>
        <w:pStyle w:val="ListBullet"/>
      </w:pPr>
      <w:r>
        <w:t>The category manager may propose a 12-month volume commitment, subject to GSM lead approval, only if Orion accepts audit rights, a capped index mechanism, quarterly resets, and launch allocation protection.</w:t>
      </w:r>
    </w:p>
    <w:p w14:paraId="45D327A5" w14:textId="77777777" w:rsidR="002D07F6" w:rsidRDefault="00CB41F8">
      <w:pPr>
        <w:pStyle w:val="Heading1"/>
      </w:pPr>
      <w:r>
        <w:t>Questions the team must answer</w:t>
      </w:r>
    </w:p>
    <w:p w14:paraId="50A4B5F0" w14:textId="77777777" w:rsidR="002D07F6" w:rsidRDefault="00CB41F8">
      <w:pPr>
        <w:pStyle w:val="ListBullet"/>
      </w:pPr>
      <w:r>
        <w:t>Which supplier cost claims are documented, plausible, duplicated, expired, or outside the contract?</w:t>
      </w:r>
    </w:p>
    <w:p w14:paraId="59E49F96" w14:textId="77777777" w:rsidR="002D07F6" w:rsidRDefault="00CB41F8">
      <w:pPr>
        <w:pStyle w:val="ListBullet"/>
      </w:pPr>
      <w:r>
        <w:t>What is the minimum viable business outcome, BATNA, walk-away point, and give-get ladder?</w:t>
      </w:r>
    </w:p>
    <w:p w14:paraId="32CB30CF" w14:textId="77777777" w:rsidR="002D07F6" w:rsidRDefault="00CB41F8">
      <w:pPr>
        <w:pStyle w:val="ListBullet"/>
      </w:pPr>
      <w:r>
        <w:t>Which contract clauses support notice, audit, mitigation, and change-in-law review?</w:t>
      </w:r>
    </w:p>
    <w:p w14:paraId="381C3D95" w14:textId="77777777" w:rsidR="002D07F6" w:rsidRDefault="00CB41F8">
      <w:pPr>
        <w:pStyle w:val="ListBullet"/>
      </w:pPr>
      <w:r>
        <w:t>What risk triggers should cause Aurelia to expedite, reallocate, dual-source, or escalate?</w:t>
      </w:r>
    </w:p>
    <w:p w14:paraId="2E734270" w14:textId="77777777" w:rsidR="002D07F6" w:rsidRDefault="00CB41F8">
      <w:pPr>
        <w:pStyle w:val="ListBullet"/>
      </w:pPr>
      <w:r>
        <w:t>What does procurement leadership need to decide this week?</w:t>
      </w:r>
    </w:p>
    <w:p w14:paraId="16C89D34" w14:textId="77777777" w:rsidR="002D07F6" w:rsidRDefault="00CB41F8">
      <w:pPr>
        <w:pStyle w:val="Heading1"/>
      </w:pPr>
      <w:r>
        <w:t>Source links</w:t>
      </w:r>
    </w:p>
    <w:p w14:paraId="2943978D" w14:textId="77777777" w:rsidR="002D07F6" w:rsidRDefault="00CB41F8">
      <w:r>
        <w:rPr>
          <w:sz w:val="16"/>
        </w:rPr>
        <w:t>IMO — Red Sea area: https://www.imo.org/en/mediacentre/hottopics/pages/red-sea.aspx</w:t>
      </w:r>
    </w:p>
    <w:p w14:paraId="2119D6E3" w14:textId="77777777" w:rsidR="002D07F6" w:rsidRDefault="00CB41F8">
      <w:r>
        <w:rPr>
          <w:sz w:val="16"/>
        </w:rPr>
        <w:t>UNCTAD — Red Sea, Black Sea and Panama Canal disruptions (Jan. 26, 2024): https://unctad.org/news/red-sea-black-sea-and-panama-canal-unctad-raises-alarm-global-trade-disruptions</w:t>
      </w:r>
    </w:p>
    <w:p w14:paraId="7755940F" w14:textId="77777777" w:rsidR="002D07F6" w:rsidRDefault="00CB41F8">
      <w:r>
        <w:rPr>
          <w:sz w:val="16"/>
        </w:rPr>
        <w:t>UNCTAD — Review of Maritime Transport press material (Sept. 24, 2025): https://unctad.org/press-material/stormy-seas-global-shipping-unctad-warns-uncertainty-volatility-and-rising-costs</w:t>
      </w:r>
    </w:p>
    <w:p w14:paraId="291DFC3C" w14:textId="77777777" w:rsidR="002D07F6" w:rsidRDefault="00CB41F8">
      <w:r>
        <w:rPr>
          <w:sz w:val="16"/>
        </w:rPr>
        <w:t>White House — Adjusting Imports of Aluminum and Steel (June 3, 2025): https://www.whitehouse.gov/presidential-actions/2025/06/adjusting-imports-of-aluminum-and-steel-into-the-united-states/</w:t>
      </w:r>
    </w:p>
    <w:p w14:paraId="7E625C24" w14:textId="77777777" w:rsidR="002D07F6" w:rsidRDefault="00CB41F8">
      <w:r>
        <w:rPr>
          <w:sz w:val="16"/>
        </w:rPr>
        <w:t>USTR — List 3 tariffs (Sept. 17, 2018): https://ustr.gov/about-us/policy-offices/press-office/press-releases/2018/september/ustr-finalizes-tariffs-200</w:t>
      </w:r>
    </w:p>
    <w:p w14:paraId="1E75C2D2" w14:textId="77777777" w:rsidR="002D07F6" w:rsidRDefault="00CB41F8">
      <w:r>
        <w:rPr>
          <w:sz w:val="16"/>
        </w:rPr>
        <w:t>White House — Ending Certain Tariff Actions (Feb. 20, 2026): https://www.whitehouse.gov/presidential-actions/2026/02/ending-certain-tariff-actions/</w:t>
      </w:r>
    </w:p>
    <w:sectPr w:rsidR="002D07F6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4104" w14:textId="77777777" w:rsidR="00F61C07" w:rsidRDefault="00F61C07">
      <w:pPr>
        <w:spacing w:after="0" w:line="240" w:lineRule="auto"/>
      </w:pPr>
      <w:r>
        <w:separator/>
      </w:r>
    </w:p>
  </w:endnote>
  <w:endnote w:type="continuationSeparator" w:id="0">
    <w:p w14:paraId="6D153D4A" w14:textId="77777777" w:rsidR="00F61C07" w:rsidRDefault="00F6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08BB" w14:textId="77777777" w:rsidR="002D07F6" w:rsidRDefault="00CB41F8">
    <w:pPr>
      <w:pStyle w:val="Footer"/>
      <w:jc w:val="center"/>
    </w:pPr>
    <w:r>
      <w:rPr>
        <w:color w:val="606277"/>
        <w:sz w:val="16"/>
      </w:rPr>
      <w:t>Aurelia Beauty Group | GSM training scenario | Prepared August 17,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E6491" w14:textId="77777777" w:rsidR="00F61C07" w:rsidRDefault="00F61C07">
      <w:pPr>
        <w:spacing w:after="0" w:line="240" w:lineRule="auto"/>
      </w:pPr>
      <w:r>
        <w:separator/>
      </w:r>
    </w:p>
  </w:footnote>
  <w:footnote w:type="continuationSeparator" w:id="0">
    <w:p w14:paraId="4020A7B0" w14:textId="77777777" w:rsidR="00F61C07" w:rsidRDefault="00F61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936481">
    <w:abstractNumId w:val="8"/>
  </w:num>
  <w:num w:numId="2" w16cid:durableId="335501188">
    <w:abstractNumId w:val="6"/>
  </w:num>
  <w:num w:numId="3" w16cid:durableId="1814057838">
    <w:abstractNumId w:val="5"/>
  </w:num>
  <w:num w:numId="4" w16cid:durableId="1427727087">
    <w:abstractNumId w:val="4"/>
  </w:num>
  <w:num w:numId="5" w16cid:durableId="105005502">
    <w:abstractNumId w:val="7"/>
  </w:num>
  <w:num w:numId="6" w16cid:durableId="2093965503">
    <w:abstractNumId w:val="3"/>
  </w:num>
  <w:num w:numId="7" w16cid:durableId="317541353">
    <w:abstractNumId w:val="2"/>
  </w:num>
  <w:num w:numId="8" w16cid:durableId="2034107703">
    <w:abstractNumId w:val="1"/>
  </w:num>
  <w:num w:numId="9" w16cid:durableId="25501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582"/>
    <w:rsid w:val="002D07F6"/>
    <w:rsid w:val="00326F90"/>
    <w:rsid w:val="006106AD"/>
    <w:rsid w:val="009315E2"/>
    <w:rsid w:val="00AA1D8D"/>
    <w:rsid w:val="00B47730"/>
    <w:rsid w:val="00C13304"/>
    <w:rsid w:val="00C82F4B"/>
    <w:rsid w:val="00CB0664"/>
    <w:rsid w:val="00CB24CA"/>
    <w:rsid w:val="00CB41F8"/>
    <w:rsid w:val="00EB3FCE"/>
    <w:rsid w:val="00F61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D8E5C6-22D9-481D-A818-2BB492D3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8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1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3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11F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1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Estee Lauder GSM supplier workflow training</dc:subject>
  <dc:creator>Microsoft</dc:creator>
  <cp:keywords>synthetic, procurement, supplier, Copilot</cp:keywords>
  <dc:description>generated by python-docx</dc:description>
  <cp:lastModifiedBy>John Rea</cp:lastModifiedBy>
  <cp:revision>5</cp:revision>
  <dcterms:created xsi:type="dcterms:W3CDTF">2013-12-23T23:15:00Z</dcterms:created>
  <dcterms:modified xsi:type="dcterms:W3CDTF">2026-08-18T23:38:00Z</dcterms:modified>
  <cp:category/>
</cp:coreProperties>
</file>