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5EA55" w14:textId="77777777" w:rsidR="008B052E" w:rsidRDefault="00903F7C">
      <w:pPr>
        <w:pStyle w:val="Title"/>
      </w:pPr>
      <w:r>
        <w:t>GSM Supplier Decision Kit</w:t>
      </w:r>
    </w:p>
    <w:p w14:paraId="109BB27F" w14:textId="77777777" w:rsidR="008B052E" w:rsidRDefault="00903F7C">
      <w:r>
        <w:rPr>
          <w:i/>
          <w:color w:val="606277"/>
          <w:sz w:val="26"/>
        </w:rPr>
        <w:t>Reusable team resource | Intake standard, prompt cards, review checklist, and escalation map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 w:rsidR="008B052E" w14:paraId="56AD1667" w14:textId="77777777">
        <w:trPr>
          <w:jc w:val="center"/>
        </w:trPr>
        <w:tc>
          <w:tcPr>
            <w:tcW w:w="5083" w:type="dxa"/>
            <w:shd w:val="clear" w:color="auto" w:fill="06123B"/>
            <w:vAlign w:val="center"/>
          </w:tcPr>
          <w:p w14:paraId="150126D7" w14:textId="77777777" w:rsidR="008B052E" w:rsidRDefault="00903F7C">
            <w:r>
              <w:rPr>
                <w:b/>
                <w:color w:val="FFFFFF"/>
                <w:sz w:val="18"/>
              </w:rPr>
              <w:t>USE</w:t>
            </w:r>
          </w:p>
        </w:tc>
        <w:tc>
          <w:tcPr>
            <w:tcW w:w="5083" w:type="dxa"/>
            <w:shd w:val="clear" w:color="auto" w:fill="E8EBFF"/>
            <w:vAlign w:val="center"/>
          </w:tcPr>
          <w:p w14:paraId="683BBC20" w14:textId="77777777" w:rsidR="008B052E" w:rsidRDefault="00903F7C">
            <w:r>
              <w:rPr>
                <w:sz w:val="18"/>
              </w:rPr>
              <w:t>Copy this kit into the team's shared resource location. Replace synthetic fields with approved business data and follow ELC information-protection requirements.</w:t>
            </w:r>
          </w:p>
        </w:tc>
      </w:tr>
    </w:tbl>
    <w:p w14:paraId="49415425" w14:textId="77777777" w:rsidR="008B052E" w:rsidRDefault="008B052E"/>
    <w:p w14:paraId="6A45EA67" w14:textId="77777777" w:rsidR="008B052E" w:rsidRDefault="00903F7C">
      <w:pPr>
        <w:pStyle w:val="Heading1"/>
      </w:pPr>
      <w:r>
        <w:t>1. Minimum supplier-change intake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  <w:gridCol w:w="1728"/>
      </w:tblGrid>
      <w:tr w:rsidR="008B052E" w14:paraId="74B05903" w14:textId="77777777">
        <w:trPr>
          <w:jc w:val="center"/>
        </w:trPr>
        <w:tc>
          <w:tcPr>
            <w:tcW w:w="2160" w:type="dxa"/>
            <w:shd w:val="clear" w:color="auto" w:fill="06123B"/>
            <w:vAlign w:val="center"/>
          </w:tcPr>
          <w:p w14:paraId="173E5EE4" w14:textId="77777777" w:rsidR="008B052E" w:rsidRDefault="00903F7C"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6480" w:type="dxa"/>
            <w:shd w:val="clear" w:color="auto" w:fill="06123B"/>
            <w:vAlign w:val="center"/>
          </w:tcPr>
          <w:p w14:paraId="4ECB12C4" w14:textId="77777777" w:rsidR="008B052E" w:rsidRDefault="00903F7C">
            <w:r>
              <w:rPr>
                <w:b/>
                <w:color w:val="FFFFFF"/>
                <w:sz w:val="16"/>
              </w:rPr>
              <w:t>Required evidence</w:t>
            </w:r>
          </w:p>
        </w:tc>
        <w:tc>
          <w:tcPr>
            <w:tcW w:w="1728" w:type="dxa"/>
            <w:shd w:val="clear" w:color="auto" w:fill="06123B"/>
            <w:vAlign w:val="center"/>
          </w:tcPr>
          <w:p w14:paraId="5F9BBD0C" w14:textId="77777777" w:rsidR="008B052E" w:rsidRDefault="00903F7C">
            <w:r>
              <w:rPr>
                <w:b/>
                <w:color w:val="FFFFFF"/>
                <w:sz w:val="16"/>
              </w:rPr>
              <w:t>Owner</w:t>
            </w:r>
          </w:p>
        </w:tc>
      </w:tr>
      <w:tr w:rsidR="008B052E" w14:paraId="6E971B90" w14:textId="77777777">
        <w:trPr>
          <w:jc w:val="center"/>
        </w:trPr>
        <w:tc>
          <w:tcPr>
            <w:tcW w:w="2160" w:type="dxa"/>
            <w:vAlign w:val="center"/>
          </w:tcPr>
          <w:p w14:paraId="2C53B842" w14:textId="77777777" w:rsidR="008B052E" w:rsidRDefault="00903F7C">
            <w:r>
              <w:rPr>
                <w:sz w:val="16"/>
              </w:rPr>
              <w:t>Affected SKU / service</w:t>
            </w:r>
          </w:p>
        </w:tc>
        <w:tc>
          <w:tcPr>
            <w:tcW w:w="6480" w:type="dxa"/>
            <w:vAlign w:val="center"/>
          </w:tcPr>
          <w:p w14:paraId="22D092AC" w14:textId="77777777" w:rsidR="008B052E" w:rsidRDefault="00903F7C">
            <w:r>
              <w:rPr>
                <w:sz w:val="16"/>
              </w:rPr>
              <w:t>Exact item or scope; no portfolio-wide claims</w:t>
            </w:r>
          </w:p>
        </w:tc>
        <w:tc>
          <w:tcPr>
            <w:tcW w:w="1728" w:type="dxa"/>
            <w:vAlign w:val="center"/>
          </w:tcPr>
          <w:p w14:paraId="36978A08" w14:textId="77777777" w:rsidR="008B052E" w:rsidRDefault="00903F7C">
            <w:r>
              <w:rPr>
                <w:sz w:val="16"/>
              </w:rPr>
              <w:t>Supplier + category manager</w:t>
            </w:r>
          </w:p>
        </w:tc>
      </w:tr>
      <w:tr w:rsidR="008B052E" w14:paraId="18A5C6F4" w14:textId="77777777">
        <w:trPr>
          <w:jc w:val="center"/>
        </w:trPr>
        <w:tc>
          <w:tcPr>
            <w:tcW w:w="2160" w:type="dxa"/>
            <w:shd w:val="clear" w:color="auto" w:fill="F0F1F7"/>
            <w:vAlign w:val="center"/>
          </w:tcPr>
          <w:p w14:paraId="3609482B" w14:textId="77777777" w:rsidR="008B052E" w:rsidRDefault="00903F7C">
            <w:r>
              <w:rPr>
                <w:sz w:val="16"/>
              </w:rPr>
              <w:t>Change type</w:t>
            </w:r>
          </w:p>
        </w:tc>
        <w:tc>
          <w:tcPr>
            <w:tcW w:w="6480" w:type="dxa"/>
            <w:shd w:val="clear" w:color="auto" w:fill="F0F1F7"/>
            <w:vAlign w:val="center"/>
          </w:tcPr>
          <w:p w14:paraId="1D225FFB" w14:textId="77777777" w:rsidR="008B052E" w:rsidRDefault="00903F7C">
            <w:r>
              <w:rPr>
                <w:sz w:val="16"/>
              </w:rPr>
              <w:t>Freight, tariff, commodity, labor, capacity, or other</w:t>
            </w:r>
          </w:p>
        </w:tc>
        <w:tc>
          <w:tcPr>
            <w:tcW w:w="1728" w:type="dxa"/>
            <w:shd w:val="clear" w:color="auto" w:fill="F0F1F7"/>
            <w:vAlign w:val="center"/>
          </w:tcPr>
          <w:p w14:paraId="4AC8E92A" w14:textId="77777777" w:rsidR="008B052E" w:rsidRDefault="00903F7C">
            <w:r>
              <w:rPr>
                <w:sz w:val="16"/>
              </w:rPr>
              <w:t>Supplier</w:t>
            </w:r>
          </w:p>
        </w:tc>
      </w:tr>
      <w:tr w:rsidR="008B052E" w14:paraId="053B069D" w14:textId="77777777">
        <w:trPr>
          <w:jc w:val="center"/>
        </w:trPr>
        <w:tc>
          <w:tcPr>
            <w:tcW w:w="2160" w:type="dxa"/>
            <w:vAlign w:val="center"/>
          </w:tcPr>
          <w:p w14:paraId="2ACE3830" w14:textId="77777777" w:rsidR="008B052E" w:rsidRDefault="00903F7C">
            <w:r>
              <w:rPr>
                <w:sz w:val="16"/>
              </w:rPr>
              <w:t>Effective date</w:t>
            </w:r>
          </w:p>
        </w:tc>
        <w:tc>
          <w:tcPr>
            <w:tcW w:w="6480" w:type="dxa"/>
            <w:vAlign w:val="center"/>
          </w:tcPr>
          <w:p w14:paraId="444E5018" w14:textId="77777777" w:rsidR="008B052E" w:rsidRDefault="00903F7C">
            <w:r>
              <w:rPr>
                <w:sz w:val="16"/>
              </w:rPr>
              <w:t>Government entry date, carrier invoice date, or contract trigger</w:t>
            </w:r>
          </w:p>
        </w:tc>
        <w:tc>
          <w:tcPr>
            <w:tcW w:w="1728" w:type="dxa"/>
            <w:vAlign w:val="center"/>
          </w:tcPr>
          <w:p w14:paraId="0B638D93" w14:textId="77777777" w:rsidR="008B052E" w:rsidRDefault="00903F7C">
            <w:r>
              <w:rPr>
                <w:sz w:val="16"/>
              </w:rPr>
              <w:t>Supplier</w:t>
            </w:r>
          </w:p>
        </w:tc>
      </w:tr>
      <w:tr w:rsidR="008B052E" w14:paraId="1B4742A5" w14:textId="77777777">
        <w:trPr>
          <w:jc w:val="center"/>
        </w:trPr>
        <w:tc>
          <w:tcPr>
            <w:tcW w:w="2160" w:type="dxa"/>
            <w:shd w:val="clear" w:color="auto" w:fill="F0F1F7"/>
            <w:vAlign w:val="center"/>
          </w:tcPr>
          <w:p w14:paraId="44797014" w14:textId="77777777" w:rsidR="008B052E" w:rsidRDefault="00903F7C">
            <w:r>
              <w:rPr>
                <w:sz w:val="16"/>
              </w:rPr>
              <w:t>Calculation basis</w:t>
            </w:r>
          </w:p>
        </w:tc>
        <w:tc>
          <w:tcPr>
            <w:tcW w:w="6480" w:type="dxa"/>
            <w:shd w:val="clear" w:color="auto" w:fill="F0F1F7"/>
            <w:vAlign w:val="center"/>
          </w:tcPr>
          <w:p w14:paraId="01CD8E34" w14:textId="77777777" w:rsidR="008B052E" w:rsidRDefault="00903F7C">
            <w:r>
              <w:rPr>
                <w:sz w:val="16"/>
              </w:rPr>
              <w:t>Baseline, changed value, units, and formula</w:t>
            </w:r>
          </w:p>
        </w:tc>
        <w:tc>
          <w:tcPr>
            <w:tcW w:w="1728" w:type="dxa"/>
            <w:shd w:val="clear" w:color="auto" w:fill="F0F1F7"/>
            <w:vAlign w:val="center"/>
          </w:tcPr>
          <w:p w14:paraId="45D519B0" w14:textId="77777777" w:rsidR="008B052E" w:rsidRDefault="00903F7C">
            <w:r>
              <w:rPr>
                <w:sz w:val="16"/>
              </w:rPr>
              <w:t>Supplier</w:t>
            </w:r>
          </w:p>
        </w:tc>
      </w:tr>
      <w:tr w:rsidR="008B052E" w14:paraId="3D5994A3" w14:textId="77777777">
        <w:trPr>
          <w:jc w:val="center"/>
        </w:trPr>
        <w:tc>
          <w:tcPr>
            <w:tcW w:w="2160" w:type="dxa"/>
            <w:vAlign w:val="center"/>
          </w:tcPr>
          <w:p w14:paraId="17D465EC" w14:textId="77777777" w:rsidR="008B052E" w:rsidRDefault="00903F7C">
            <w:r>
              <w:rPr>
                <w:sz w:val="16"/>
              </w:rPr>
              <w:t>Third-party evidence</w:t>
            </w:r>
          </w:p>
        </w:tc>
        <w:tc>
          <w:tcPr>
            <w:tcW w:w="6480" w:type="dxa"/>
            <w:vAlign w:val="center"/>
          </w:tcPr>
          <w:p w14:paraId="4A56C821" w14:textId="77777777" w:rsidR="008B052E" w:rsidRDefault="00903F7C">
            <w:r>
              <w:rPr>
                <w:sz w:val="16"/>
              </w:rPr>
              <w:t>Customs entry, carrier invoice, index, or government source</w:t>
            </w:r>
          </w:p>
        </w:tc>
        <w:tc>
          <w:tcPr>
            <w:tcW w:w="1728" w:type="dxa"/>
            <w:vAlign w:val="center"/>
          </w:tcPr>
          <w:p w14:paraId="7E487912" w14:textId="77777777" w:rsidR="008B052E" w:rsidRDefault="00903F7C">
            <w:r>
              <w:rPr>
                <w:sz w:val="16"/>
              </w:rPr>
              <w:t>Supplier</w:t>
            </w:r>
          </w:p>
        </w:tc>
      </w:tr>
      <w:tr w:rsidR="008B052E" w14:paraId="558D2BB8" w14:textId="77777777">
        <w:trPr>
          <w:jc w:val="center"/>
        </w:trPr>
        <w:tc>
          <w:tcPr>
            <w:tcW w:w="2160" w:type="dxa"/>
            <w:shd w:val="clear" w:color="auto" w:fill="F0F1F7"/>
            <w:vAlign w:val="center"/>
          </w:tcPr>
          <w:p w14:paraId="30A7F6AD" w14:textId="77777777" w:rsidR="008B052E" w:rsidRDefault="00903F7C">
            <w:r>
              <w:rPr>
                <w:sz w:val="16"/>
              </w:rPr>
              <w:t>Contract basis</w:t>
            </w:r>
          </w:p>
        </w:tc>
        <w:tc>
          <w:tcPr>
            <w:tcW w:w="6480" w:type="dxa"/>
            <w:shd w:val="clear" w:color="auto" w:fill="F0F1F7"/>
            <w:vAlign w:val="center"/>
          </w:tcPr>
          <w:p w14:paraId="36AF0CEF" w14:textId="77777777" w:rsidR="008B052E" w:rsidRDefault="00903F7C">
            <w:r>
              <w:rPr>
                <w:sz w:val="16"/>
              </w:rPr>
              <w:t>Clause and notice requirement</w:t>
            </w:r>
          </w:p>
        </w:tc>
        <w:tc>
          <w:tcPr>
            <w:tcW w:w="1728" w:type="dxa"/>
            <w:shd w:val="clear" w:color="auto" w:fill="F0F1F7"/>
            <w:vAlign w:val="center"/>
          </w:tcPr>
          <w:p w14:paraId="74900E9A" w14:textId="77777777" w:rsidR="008B052E" w:rsidRDefault="00903F7C">
            <w:r>
              <w:rPr>
                <w:sz w:val="16"/>
              </w:rPr>
              <w:t>Category manager</w:t>
            </w:r>
          </w:p>
        </w:tc>
      </w:tr>
      <w:tr w:rsidR="008B052E" w14:paraId="377AAC8C" w14:textId="77777777">
        <w:trPr>
          <w:jc w:val="center"/>
        </w:trPr>
        <w:tc>
          <w:tcPr>
            <w:tcW w:w="2160" w:type="dxa"/>
            <w:vAlign w:val="center"/>
          </w:tcPr>
          <w:p w14:paraId="23D322C3" w14:textId="77777777" w:rsidR="008B052E" w:rsidRDefault="00903F7C">
            <w:r>
              <w:rPr>
                <w:sz w:val="16"/>
              </w:rPr>
              <w:t>Mitigation attempted</w:t>
            </w:r>
          </w:p>
        </w:tc>
        <w:tc>
          <w:tcPr>
            <w:tcW w:w="6480" w:type="dxa"/>
            <w:vAlign w:val="center"/>
          </w:tcPr>
          <w:p w14:paraId="75E96269" w14:textId="77777777" w:rsidR="008B052E" w:rsidRDefault="00903F7C">
            <w:r>
              <w:rPr>
                <w:sz w:val="16"/>
              </w:rPr>
              <w:t>Alternate route, source, mode, inventory, or design</w:t>
            </w:r>
          </w:p>
        </w:tc>
        <w:tc>
          <w:tcPr>
            <w:tcW w:w="1728" w:type="dxa"/>
            <w:vAlign w:val="center"/>
          </w:tcPr>
          <w:p w14:paraId="1571529A" w14:textId="77777777" w:rsidR="008B052E" w:rsidRDefault="00903F7C">
            <w:r>
              <w:rPr>
                <w:sz w:val="16"/>
              </w:rPr>
              <w:t>Supplier</w:t>
            </w:r>
          </w:p>
        </w:tc>
      </w:tr>
      <w:tr w:rsidR="008B052E" w14:paraId="1EDAE765" w14:textId="77777777">
        <w:trPr>
          <w:jc w:val="center"/>
        </w:trPr>
        <w:tc>
          <w:tcPr>
            <w:tcW w:w="2160" w:type="dxa"/>
            <w:shd w:val="clear" w:color="auto" w:fill="F0F1F7"/>
            <w:vAlign w:val="center"/>
          </w:tcPr>
          <w:p w14:paraId="783A3F16" w14:textId="77777777" w:rsidR="008B052E" w:rsidRDefault="00903F7C">
            <w:r>
              <w:rPr>
                <w:sz w:val="16"/>
              </w:rPr>
              <w:t>Decision deadline</w:t>
            </w:r>
          </w:p>
        </w:tc>
        <w:tc>
          <w:tcPr>
            <w:tcW w:w="6480" w:type="dxa"/>
            <w:shd w:val="clear" w:color="auto" w:fill="F0F1F7"/>
            <w:vAlign w:val="center"/>
          </w:tcPr>
          <w:p w14:paraId="6D933317" w14:textId="77777777" w:rsidR="008B052E" w:rsidRDefault="00903F7C">
            <w:r>
              <w:rPr>
                <w:sz w:val="16"/>
              </w:rPr>
              <w:t>Date and consequence of delay</w:t>
            </w:r>
          </w:p>
        </w:tc>
        <w:tc>
          <w:tcPr>
            <w:tcW w:w="1728" w:type="dxa"/>
            <w:shd w:val="clear" w:color="auto" w:fill="F0F1F7"/>
            <w:vAlign w:val="center"/>
          </w:tcPr>
          <w:p w14:paraId="431BDC30" w14:textId="77777777" w:rsidR="008B052E" w:rsidRDefault="00903F7C">
            <w:r>
              <w:rPr>
                <w:sz w:val="16"/>
              </w:rPr>
              <w:t>Category manager</w:t>
            </w:r>
          </w:p>
        </w:tc>
      </w:tr>
    </w:tbl>
    <w:p w14:paraId="4EEBCBE2" w14:textId="77777777" w:rsidR="008B052E" w:rsidRDefault="008B052E"/>
    <w:p w14:paraId="46F96DCD" w14:textId="77777777" w:rsidR="008B052E" w:rsidRDefault="00903F7C">
      <w:pPr>
        <w:pStyle w:val="Heading1"/>
      </w:pPr>
      <w:r>
        <w:t>2. GCSE prompt card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8640"/>
      </w:tblGrid>
      <w:tr w:rsidR="008B052E" w14:paraId="603D9D91" w14:textId="77777777">
        <w:trPr>
          <w:jc w:val="center"/>
        </w:trPr>
        <w:tc>
          <w:tcPr>
            <w:tcW w:w="1728" w:type="dxa"/>
            <w:shd w:val="clear" w:color="auto" w:fill="06123B"/>
            <w:vAlign w:val="center"/>
          </w:tcPr>
          <w:p w14:paraId="69F61D00" w14:textId="77777777" w:rsidR="008B052E" w:rsidRDefault="00903F7C">
            <w:r>
              <w:rPr>
                <w:b/>
                <w:color w:val="FFFFFF"/>
                <w:sz w:val="16"/>
              </w:rPr>
              <w:t>Prompt element</w:t>
            </w:r>
          </w:p>
        </w:tc>
        <w:tc>
          <w:tcPr>
            <w:tcW w:w="8640" w:type="dxa"/>
            <w:shd w:val="clear" w:color="auto" w:fill="06123B"/>
            <w:vAlign w:val="center"/>
          </w:tcPr>
          <w:p w14:paraId="21C36670" w14:textId="77777777" w:rsidR="008B052E" w:rsidRDefault="00903F7C">
            <w:r>
              <w:rPr>
                <w:b/>
                <w:color w:val="FFFFFF"/>
                <w:sz w:val="16"/>
              </w:rPr>
              <w:t>Supplier-workflow question</w:t>
            </w:r>
          </w:p>
        </w:tc>
      </w:tr>
      <w:tr w:rsidR="008B052E" w14:paraId="7A24E2EF" w14:textId="77777777">
        <w:trPr>
          <w:jc w:val="center"/>
        </w:trPr>
        <w:tc>
          <w:tcPr>
            <w:tcW w:w="1728" w:type="dxa"/>
            <w:vAlign w:val="center"/>
          </w:tcPr>
          <w:p w14:paraId="36D2BD6F" w14:textId="77777777" w:rsidR="008B052E" w:rsidRDefault="00903F7C">
            <w:r>
              <w:rPr>
                <w:sz w:val="16"/>
              </w:rPr>
              <w:t>Goal</w:t>
            </w:r>
          </w:p>
        </w:tc>
        <w:tc>
          <w:tcPr>
            <w:tcW w:w="8640" w:type="dxa"/>
            <w:vAlign w:val="center"/>
          </w:tcPr>
          <w:p w14:paraId="4DBA2B88" w14:textId="77777777" w:rsidR="008B052E" w:rsidRDefault="00903F7C">
            <w:r>
              <w:rPr>
                <w:sz w:val="16"/>
              </w:rPr>
              <w:t>What business decision must this output enable?</w:t>
            </w:r>
          </w:p>
        </w:tc>
      </w:tr>
      <w:tr w:rsidR="008B052E" w14:paraId="57EDCE2B" w14:textId="77777777">
        <w:trPr>
          <w:jc w:val="center"/>
        </w:trPr>
        <w:tc>
          <w:tcPr>
            <w:tcW w:w="1728" w:type="dxa"/>
            <w:shd w:val="clear" w:color="auto" w:fill="F0F1F7"/>
            <w:vAlign w:val="center"/>
          </w:tcPr>
          <w:p w14:paraId="7422E58E" w14:textId="77777777" w:rsidR="008B052E" w:rsidRDefault="00903F7C">
            <w:r>
              <w:rPr>
                <w:sz w:val="16"/>
              </w:rPr>
              <w:t>Context</w:t>
            </w:r>
          </w:p>
        </w:tc>
        <w:tc>
          <w:tcPr>
            <w:tcW w:w="8640" w:type="dxa"/>
            <w:shd w:val="clear" w:color="auto" w:fill="F0F1F7"/>
            <w:vAlign w:val="center"/>
          </w:tcPr>
          <w:p w14:paraId="79CD66CD" w14:textId="77777777" w:rsidR="008B052E" w:rsidRDefault="00903F7C">
            <w:r>
              <w:rPr>
                <w:sz w:val="16"/>
              </w:rPr>
              <w:t>Who is the audience, what is at stake, and what authority do I have?</w:t>
            </w:r>
          </w:p>
        </w:tc>
      </w:tr>
      <w:tr w:rsidR="008B052E" w14:paraId="65B60325" w14:textId="77777777">
        <w:trPr>
          <w:jc w:val="center"/>
        </w:trPr>
        <w:tc>
          <w:tcPr>
            <w:tcW w:w="1728" w:type="dxa"/>
            <w:vAlign w:val="center"/>
          </w:tcPr>
          <w:p w14:paraId="590B1FA9" w14:textId="77777777" w:rsidR="008B052E" w:rsidRDefault="00903F7C">
            <w:r>
              <w:rPr>
                <w:sz w:val="16"/>
              </w:rPr>
              <w:t>Source</w:t>
            </w:r>
          </w:p>
        </w:tc>
        <w:tc>
          <w:tcPr>
            <w:tcW w:w="8640" w:type="dxa"/>
            <w:vAlign w:val="center"/>
          </w:tcPr>
          <w:p w14:paraId="1ACA80A5" w14:textId="77777777" w:rsidR="008B052E" w:rsidRDefault="00903F7C">
            <w:r>
              <w:rPr>
                <w:sz w:val="16"/>
              </w:rPr>
              <w:t>Which approved files, tables, clauses, or public sources may Copilot use?</w:t>
            </w:r>
          </w:p>
        </w:tc>
      </w:tr>
      <w:tr w:rsidR="008B052E" w14:paraId="63DA517E" w14:textId="77777777">
        <w:trPr>
          <w:jc w:val="center"/>
        </w:trPr>
        <w:tc>
          <w:tcPr>
            <w:tcW w:w="1728" w:type="dxa"/>
            <w:shd w:val="clear" w:color="auto" w:fill="F0F1F7"/>
            <w:vAlign w:val="center"/>
          </w:tcPr>
          <w:p w14:paraId="12A38E0B" w14:textId="77777777" w:rsidR="008B052E" w:rsidRDefault="00903F7C">
            <w:r>
              <w:rPr>
                <w:sz w:val="16"/>
              </w:rPr>
              <w:t>Expectation</w:t>
            </w:r>
          </w:p>
        </w:tc>
        <w:tc>
          <w:tcPr>
            <w:tcW w:w="8640" w:type="dxa"/>
            <w:shd w:val="clear" w:color="auto" w:fill="F0F1F7"/>
            <w:vAlign w:val="center"/>
          </w:tcPr>
          <w:p w14:paraId="278CE92E" w14:textId="77777777" w:rsidR="008B052E" w:rsidRDefault="00903F7C">
            <w:r>
              <w:rPr>
                <w:sz w:val="16"/>
              </w:rPr>
              <w:t>What format, evidence standard, confidence labels, and guardrails are required?</w:t>
            </w:r>
          </w:p>
        </w:tc>
      </w:tr>
    </w:tbl>
    <w:p w14:paraId="49752910" w14:textId="77777777" w:rsidR="008B052E" w:rsidRDefault="008B052E"/>
    <w:p w14:paraId="2EB51FEF" w14:textId="77777777" w:rsidR="008B052E" w:rsidRDefault="00903F7C">
      <w:pPr>
        <w:pStyle w:val="Heading1"/>
      </w:pPr>
      <w:r>
        <w:t>3. Four reusable prompt starters</w:t>
      </w:r>
    </w:p>
    <w:p w14:paraId="7596D47C" w14:textId="77777777" w:rsidR="008B052E" w:rsidRDefault="00903F7C">
      <w:pPr>
        <w:pStyle w:val="Heading2"/>
      </w:pPr>
      <w:r>
        <w:t>Claim audit</w:t>
      </w:r>
    </w:p>
    <w:p w14:paraId="36628FE2" w14:textId="77777777" w:rsidR="008B052E" w:rsidRDefault="00903F7C">
      <w:r>
        <w:t>Using the supplier request, contract, and exposure table, build a claim ledger with amount, basis, source evidence, contract clause, confidence, missing proof, and recommended disposition. Separate facts, supplier assertions, calculations, and assumptions.</w:t>
      </w:r>
    </w:p>
    <w:p w14:paraId="7E36AE3C" w14:textId="77777777" w:rsidR="008B052E" w:rsidRDefault="00903F7C">
      <w:pPr>
        <w:pStyle w:val="Heading2"/>
      </w:pPr>
      <w:r>
        <w:t>Negotiation plan</w:t>
      </w:r>
    </w:p>
    <w:p w14:paraId="12C72B89" w14:textId="77777777" w:rsidR="008B052E" w:rsidRDefault="00903F7C">
      <w:r>
        <w:t>Create a negotiation brief with objectives, interests, BATNA, target, walk-away, supplier likely interests, five diagnostic questions, and a give-get concession ladder. No concession may be unconditional.</w:t>
      </w:r>
    </w:p>
    <w:p w14:paraId="7DDDE46F" w14:textId="77777777" w:rsidR="008B052E" w:rsidRDefault="00903F7C">
      <w:pPr>
        <w:pStyle w:val="Heading2"/>
      </w:pPr>
      <w:r>
        <w:t>Risk tripwires</w:t>
      </w:r>
    </w:p>
    <w:p w14:paraId="449162F8" w14:textId="77777777" w:rsidR="008B052E" w:rsidRDefault="00903F7C">
      <w:r>
        <w:t>Convert the risk assessment into measurable triggers with owner, threshold, action, decision deadline, and evidence source. Distinguish monitor, mitigate now, and escalate.</w:t>
      </w:r>
    </w:p>
    <w:p w14:paraId="188EAC9F" w14:textId="77777777" w:rsidR="008B052E" w:rsidRDefault="00903F7C">
      <w:pPr>
        <w:pStyle w:val="Heading2"/>
      </w:pPr>
      <w:r>
        <w:lastRenderedPageBreak/>
        <w:t>Leadership update</w:t>
      </w:r>
    </w:p>
    <w:p w14:paraId="34811226" w14:textId="77777777" w:rsidR="008B052E" w:rsidRDefault="00903F7C">
      <w:r>
        <w:t>Create a concise decision update: what changed, verified financial exposure, operational risk, recommendation, decisions needed, and what would change the recommendation. Cite every number to a source.</w:t>
      </w:r>
    </w:p>
    <w:p w14:paraId="56A21318" w14:textId="77777777" w:rsidR="008B052E" w:rsidRDefault="00903F7C">
      <w:pPr>
        <w:pStyle w:val="Heading1"/>
      </w:pPr>
      <w:r>
        <w:t>4. Human review checklist</w:t>
      </w:r>
    </w:p>
    <w:p w14:paraId="22C37103" w14:textId="77777777" w:rsidR="008B052E" w:rsidRDefault="00903F7C">
      <w:pPr>
        <w:pStyle w:val="ListBullet"/>
      </w:pPr>
      <w:r>
        <w:t>Every material number traces to a file, source, or clearly labeled assumption.</w:t>
      </w:r>
    </w:p>
    <w:p w14:paraId="3ED34C24" w14:textId="77777777" w:rsidR="008B052E" w:rsidRDefault="00903F7C">
      <w:pPr>
        <w:pStyle w:val="ListBullet"/>
      </w:pPr>
      <w:r>
        <w:t>Tariff claims include origin, ten-digit HTS code, entered value, effective date, and exclusion status where relevant.</w:t>
      </w:r>
    </w:p>
    <w:p w14:paraId="4B1CE8EE" w14:textId="77777777" w:rsidR="008B052E" w:rsidRDefault="00903F7C">
      <w:pPr>
        <w:pStyle w:val="ListBullet"/>
      </w:pPr>
      <w:r>
        <w:t>Freight claims show the baseline and avoid duplicate bunker, insurance, or capacity recovery.</w:t>
      </w:r>
    </w:p>
    <w:p w14:paraId="2F20C2DC" w14:textId="77777777" w:rsidR="008B052E" w:rsidRDefault="00903F7C">
      <w:pPr>
        <w:pStyle w:val="ListBullet"/>
      </w:pPr>
      <w:r>
        <w:t>Contract interpretation is reviewed by counsel when rights, obligations, or remedies are material.</w:t>
      </w:r>
    </w:p>
    <w:p w14:paraId="16E047F1" w14:textId="77777777" w:rsidR="008B052E" w:rsidRDefault="00903F7C">
      <w:pPr>
        <w:pStyle w:val="ListBullet"/>
      </w:pPr>
      <w:r>
        <w:t>Negotiation recommendations identify authority limits and never invent supplier commitments.</w:t>
      </w:r>
    </w:p>
    <w:p w14:paraId="3534B01C" w14:textId="77777777" w:rsidR="008B052E" w:rsidRDefault="00903F7C">
      <w:pPr>
        <w:pStyle w:val="ListBullet"/>
      </w:pPr>
      <w:r>
        <w:t>Outputs containing sensitive information remain in approved Microsoft 365 locations and inherit appropriate labels.</w:t>
      </w:r>
    </w:p>
    <w:p w14:paraId="4154E78E" w14:textId="77777777" w:rsidR="008B052E" w:rsidRDefault="00903F7C">
      <w:pPr>
        <w:pStyle w:val="Heading1"/>
      </w:pPr>
      <w:r>
        <w:t>5. Escalation map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768"/>
        <w:gridCol w:w="3600"/>
      </w:tblGrid>
      <w:tr w:rsidR="008B052E" w14:paraId="57CFF84D" w14:textId="77777777">
        <w:trPr>
          <w:jc w:val="center"/>
        </w:trPr>
        <w:tc>
          <w:tcPr>
            <w:tcW w:w="6768" w:type="dxa"/>
            <w:shd w:val="clear" w:color="auto" w:fill="06123B"/>
            <w:vAlign w:val="center"/>
          </w:tcPr>
          <w:p w14:paraId="71441411" w14:textId="77777777" w:rsidR="008B052E" w:rsidRDefault="00903F7C"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w="3600" w:type="dxa"/>
            <w:shd w:val="clear" w:color="auto" w:fill="06123B"/>
            <w:vAlign w:val="center"/>
          </w:tcPr>
          <w:p w14:paraId="5BC2B614" w14:textId="77777777" w:rsidR="008B052E" w:rsidRDefault="00903F7C">
            <w:r>
              <w:rPr>
                <w:b/>
                <w:color w:val="FFFFFF"/>
                <w:sz w:val="16"/>
              </w:rPr>
              <w:t>Escalate to</w:t>
            </w:r>
          </w:p>
        </w:tc>
      </w:tr>
      <w:tr w:rsidR="008B052E" w14:paraId="2A502A60" w14:textId="77777777">
        <w:trPr>
          <w:jc w:val="center"/>
        </w:trPr>
        <w:tc>
          <w:tcPr>
            <w:tcW w:w="6768" w:type="dxa"/>
            <w:vAlign w:val="center"/>
          </w:tcPr>
          <w:p w14:paraId="60759669" w14:textId="77777777" w:rsidR="008B052E" w:rsidRDefault="00903F7C">
            <w:r>
              <w:rPr>
                <w:sz w:val="16"/>
              </w:rPr>
              <w:t>HTS classification, origin, entered value, or duty applicability</w:t>
            </w:r>
          </w:p>
        </w:tc>
        <w:tc>
          <w:tcPr>
            <w:tcW w:w="3600" w:type="dxa"/>
            <w:vAlign w:val="center"/>
          </w:tcPr>
          <w:p w14:paraId="1A181E54" w14:textId="77777777" w:rsidR="008B052E" w:rsidRDefault="00903F7C">
            <w:r>
              <w:rPr>
                <w:sz w:val="16"/>
              </w:rPr>
              <w:t>Customs / trade compliance</w:t>
            </w:r>
          </w:p>
        </w:tc>
      </w:tr>
      <w:tr w:rsidR="008B052E" w14:paraId="4E3B1C5A" w14:textId="77777777">
        <w:trPr>
          <w:jc w:val="center"/>
        </w:trPr>
        <w:tc>
          <w:tcPr>
            <w:tcW w:w="6768" w:type="dxa"/>
            <w:shd w:val="clear" w:color="auto" w:fill="F0F1F7"/>
            <w:vAlign w:val="center"/>
          </w:tcPr>
          <w:p w14:paraId="60765EA5" w14:textId="77777777" w:rsidR="008B052E" w:rsidRDefault="00903F7C">
            <w:r>
              <w:rPr>
                <w:sz w:val="16"/>
              </w:rPr>
              <w:t>Contract rights, remedies, force majeure, or waiver</w:t>
            </w:r>
          </w:p>
        </w:tc>
        <w:tc>
          <w:tcPr>
            <w:tcW w:w="3600" w:type="dxa"/>
            <w:shd w:val="clear" w:color="auto" w:fill="F0F1F7"/>
            <w:vAlign w:val="center"/>
          </w:tcPr>
          <w:p w14:paraId="3819BB81" w14:textId="77777777" w:rsidR="008B052E" w:rsidRDefault="00903F7C">
            <w:r>
              <w:rPr>
                <w:sz w:val="16"/>
              </w:rPr>
              <w:t>Legal counsel</w:t>
            </w:r>
          </w:p>
        </w:tc>
      </w:tr>
      <w:tr w:rsidR="008B052E" w14:paraId="3C87CC77" w14:textId="77777777">
        <w:trPr>
          <w:jc w:val="center"/>
        </w:trPr>
        <w:tc>
          <w:tcPr>
            <w:tcW w:w="6768" w:type="dxa"/>
            <w:vAlign w:val="center"/>
          </w:tcPr>
          <w:p w14:paraId="4CBB9664" w14:textId="77777777" w:rsidR="008B052E" w:rsidRDefault="00903F7C">
            <w:r>
              <w:rPr>
                <w:sz w:val="16"/>
              </w:rPr>
              <w:t>Launch allocation, inventory, or expedite decision</w:t>
            </w:r>
          </w:p>
        </w:tc>
        <w:tc>
          <w:tcPr>
            <w:tcW w:w="3600" w:type="dxa"/>
            <w:vAlign w:val="center"/>
          </w:tcPr>
          <w:p w14:paraId="5385512B" w14:textId="77777777" w:rsidR="008B052E" w:rsidRDefault="00903F7C">
            <w:r>
              <w:rPr>
                <w:sz w:val="16"/>
              </w:rPr>
              <w:t>Supply chain + business lead</w:t>
            </w:r>
          </w:p>
        </w:tc>
      </w:tr>
      <w:tr w:rsidR="008B052E" w14:paraId="0EC9AC0C" w14:textId="77777777">
        <w:trPr>
          <w:jc w:val="center"/>
        </w:trPr>
        <w:tc>
          <w:tcPr>
            <w:tcW w:w="6768" w:type="dxa"/>
            <w:shd w:val="clear" w:color="auto" w:fill="F0F1F7"/>
            <w:vAlign w:val="center"/>
          </w:tcPr>
          <w:p w14:paraId="40BBD602" w14:textId="77777777" w:rsidR="008B052E" w:rsidRDefault="00903F7C">
            <w:r>
              <w:rPr>
                <w:sz w:val="16"/>
              </w:rPr>
              <w:t>Supplier financial viability or concentration exposure</w:t>
            </w:r>
          </w:p>
        </w:tc>
        <w:tc>
          <w:tcPr>
            <w:tcW w:w="3600" w:type="dxa"/>
            <w:shd w:val="clear" w:color="auto" w:fill="F0F1F7"/>
            <w:vAlign w:val="center"/>
          </w:tcPr>
          <w:p w14:paraId="010DF055" w14:textId="77777777" w:rsidR="008B052E" w:rsidRDefault="00903F7C">
            <w:r>
              <w:rPr>
                <w:sz w:val="16"/>
              </w:rPr>
              <w:t>Supplier risk / finance</w:t>
            </w:r>
          </w:p>
        </w:tc>
      </w:tr>
      <w:tr w:rsidR="008B052E" w14:paraId="189F9133" w14:textId="77777777">
        <w:trPr>
          <w:jc w:val="center"/>
        </w:trPr>
        <w:tc>
          <w:tcPr>
            <w:tcW w:w="6768" w:type="dxa"/>
            <w:vAlign w:val="center"/>
          </w:tcPr>
          <w:p w14:paraId="69DA008E" w14:textId="77777777" w:rsidR="008B052E" w:rsidRDefault="00903F7C">
            <w:r>
              <w:rPr>
                <w:sz w:val="16"/>
              </w:rPr>
              <w:t>Customer or retailer commitment impact</w:t>
            </w:r>
          </w:p>
        </w:tc>
        <w:tc>
          <w:tcPr>
            <w:tcW w:w="3600" w:type="dxa"/>
            <w:vAlign w:val="center"/>
          </w:tcPr>
          <w:p w14:paraId="6B5435C4" w14:textId="77777777" w:rsidR="008B052E" w:rsidRDefault="00903F7C">
            <w:r>
              <w:rPr>
                <w:sz w:val="16"/>
              </w:rPr>
              <w:t>Commercial / brand leadership</w:t>
            </w:r>
          </w:p>
        </w:tc>
      </w:tr>
    </w:tbl>
    <w:p w14:paraId="3C9201B5" w14:textId="77777777" w:rsidR="008B052E" w:rsidRDefault="008B052E"/>
    <w:sectPr w:rsidR="008B052E" w:rsidSect="00034616">
      <w:footerReference w:type="default" r:id="rId8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B3C27" w14:textId="77777777" w:rsidR="00903F7C" w:rsidRDefault="00903F7C">
      <w:pPr>
        <w:spacing w:after="0" w:line="240" w:lineRule="auto"/>
      </w:pPr>
      <w:r>
        <w:separator/>
      </w:r>
    </w:p>
  </w:endnote>
  <w:endnote w:type="continuationSeparator" w:id="0">
    <w:p w14:paraId="40BCE38D" w14:textId="77777777" w:rsidR="00903F7C" w:rsidRDefault="00903F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43B6B" w14:textId="77777777" w:rsidR="008B052E" w:rsidRDefault="00903F7C">
    <w:pPr>
      <w:pStyle w:val="Footer"/>
      <w:jc w:val="center"/>
    </w:pPr>
    <w:r>
      <w:rPr>
        <w:color w:val="606277"/>
        <w:sz w:val="16"/>
      </w:rPr>
      <w:t>Aurelia Beauty Group | GSM training scenario | Prepared August 17,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EF18D" w14:textId="77777777" w:rsidR="00903F7C" w:rsidRDefault="00903F7C">
      <w:pPr>
        <w:spacing w:after="0" w:line="240" w:lineRule="auto"/>
      </w:pPr>
      <w:r>
        <w:separator/>
      </w:r>
    </w:p>
  </w:footnote>
  <w:footnote w:type="continuationSeparator" w:id="0">
    <w:p w14:paraId="047B230E" w14:textId="77777777" w:rsidR="00903F7C" w:rsidRDefault="00903F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9781035">
    <w:abstractNumId w:val="8"/>
  </w:num>
  <w:num w:numId="2" w16cid:durableId="610405459">
    <w:abstractNumId w:val="6"/>
  </w:num>
  <w:num w:numId="3" w16cid:durableId="1793473586">
    <w:abstractNumId w:val="5"/>
  </w:num>
  <w:num w:numId="4" w16cid:durableId="1704937328">
    <w:abstractNumId w:val="4"/>
  </w:num>
  <w:num w:numId="5" w16cid:durableId="1007445210">
    <w:abstractNumId w:val="7"/>
  </w:num>
  <w:num w:numId="6" w16cid:durableId="802387138">
    <w:abstractNumId w:val="3"/>
  </w:num>
  <w:num w:numId="7" w16cid:durableId="1846362082">
    <w:abstractNumId w:val="2"/>
  </w:num>
  <w:num w:numId="8" w16cid:durableId="504133243">
    <w:abstractNumId w:val="1"/>
  </w:num>
  <w:num w:numId="9" w16cid:durableId="349187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2DDD"/>
    <w:rsid w:val="0029639D"/>
    <w:rsid w:val="00326F90"/>
    <w:rsid w:val="003C182D"/>
    <w:rsid w:val="008B052E"/>
    <w:rsid w:val="00903F7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F56454C-A25D-42C6-B85E-584829CAC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7182B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6123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3A7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B11F4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6123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500</Words>
  <Characters>2851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Estee Lauder GSM supplier workflow training</dc:subject>
  <dc:creator>Microsoft</dc:creator>
  <cp:keywords>synthetic, procurement, supplier, Copilot</cp:keywords>
  <dc:description>generated by python-docx</dc:description>
  <cp:lastModifiedBy>John Rea</cp:lastModifiedBy>
  <cp:revision>2</cp:revision>
  <dcterms:created xsi:type="dcterms:W3CDTF">2013-12-23T23:15:00Z</dcterms:created>
  <dcterms:modified xsi:type="dcterms:W3CDTF">2026-08-18T23:39:00Z</dcterms:modified>
  <cp:category/>
</cp:coreProperties>
</file>