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88ED5" w14:textId="00DDEA1D" w:rsidR="009C73DB" w:rsidRDefault="009C73DB">
      <w:pPr>
        <w:pStyle w:val="Ttulo1"/>
        <w:tabs>
          <w:tab w:val="center" w:pos="2016"/>
        </w:tabs>
        <w:spacing w:after="99"/>
        <w:ind w:left="-15"/>
      </w:pPr>
      <w:bookmarkStart w:id="0" w:name="_Toc117895454"/>
      <w:r>
        <w:t>I</w:t>
      </w:r>
      <w:r w:rsidR="00765301">
        <w:t>I. MARCO METODOLÓGICO</w:t>
      </w:r>
      <w:bookmarkEnd w:id="0"/>
    </w:p>
    <w:p w14:paraId="38613CBD" w14:textId="123773DE" w:rsidR="00580242" w:rsidRPr="001C4C36" w:rsidRDefault="009C73DB" w:rsidP="00765301">
      <w:pPr>
        <w:pStyle w:val="Ttulo2"/>
      </w:pPr>
      <w:r>
        <w:t>1.</w:t>
      </w:r>
      <w:r w:rsidRPr="009C73DB">
        <w:t xml:space="preserve"> </w:t>
      </w:r>
      <w:r w:rsidR="00765301">
        <w:t>Tipo de estudio</w:t>
      </w:r>
    </w:p>
    <w:p w14:paraId="670B6C6D" w14:textId="77777777" w:rsidR="00765301" w:rsidRPr="00765301" w:rsidRDefault="00765301" w:rsidP="00765301">
      <w:pPr>
        <w:spacing w:after="492" w:line="340" w:lineRule="auto"/>
        <w:jc w:val="both"/>
        <w:rPr>
          <w:lang w:val="es"/>
        </w:rPr>
      </w:pPr>
      <w:r w:rsidRPr="00765301">
        <w:rPr>
          <w:lang w:val="es"/>
        </w:rPr>
        <w:t>Esta tesis corresponde a un estudio cuantitativo de tipo longitudinal y alcance correlacional, ya que busca analizar, dentro de un determinado periodo de tiempo, la existencia y el nivel de asociación entre una variable dependiente (respeto a los derechos de integridad física) y varias variables independientes que operan como predictores o como control estadístico. Por tanto, en el estudio de estas tesis se busca identificar el tipo de relación que existe entre el nivel de respeto a los derechos humanos que presentan los países post autoritarios y el uso de enjuiciamientos y comisiones de verdad, con la finalidad de determinar la dirección o efecto de dicha relación.</w:t>
      </w:r>
    </w:p>
    <w:p w14:paraId="3C4B6ECF" w14:textId="7464C125" w:rsidR="00765301" w:rsidRDefault="00765301" w:rsidP="00765301">
      <w:pPr>
        <w:spacing w:after="492" w:line="340" w:lineRule="auto"/>
        <w:jc w:val="both"/>
        <w:rPr>
          <w:lang w:val="es"/>
        </w:rPr>
      </w:pPr>
      <w:r w:rsidRPr="00765301">
        <w:rPr>
          <w:lang w:val="es"/>
        </w:rPr>
        <w:t>Asimismo, esta tesis corresponde a un estudio de fuentes secundarias, porque recolecta y analiza información estadística producida por otros académicos y organizaciones especializadas en el estudio de las violaciones a los derechos humanos y los mecanismos de justicia transicional.</w:t>
      </w:r>
    </w:p>
    <w:p w14:paraId="58529CCE" w14:textId="670DD0C4" w:rsidR="00765301" w:rsidRDefault="00765301" w:rsidP="00765301">
      <w:pPr>
        <w:pStyle w:val="Ttulo2"/>
        <w:rPr>
          <w:lang w:val="es"/>
        </w:rPr>
      </w:pPr>
      <w:r>
        <w:rPr>
          <w:lang w:val="es"/>
        </w:rPr>
        <w:t>2. Datos</w:t>
      </w:r>
    </w:p>
    <w:p w14:paraId="655ACB1A" w14:textId="77777777" w:rsidR="00765301" w:rsidRPr="00765301" w:rsidRDefault="00765301" w:rsidP="00765301">
      <w:pPr>
        <w:spacing w:after="492" w:line="340" w:lineRule="auto"/>
        <w:jc w:val="both"/>
        <w:rPr>
          <w:lang w:val="es"/>
        </w:rPr>
      </w:pPr>
      <w:r w:rsidRPr="00765301">
        <w:rPr>
          <w:lang w:val="es"/>
        </w:rPr>
        <w:t>Para desarrollar este estudio, se elaboró una base de datos tipo panel con 111 transiciones democráticas ocurridas 89 países, entre los años 1970 y 2011, en el contexto de la tercera ola de democratización mundial (Huntington, 1991). La selección de la muestra, se hizo en base a la información disponible en el Proyecto Colaborativo de Investigación en Justicia Transicional (Dancy et al., 2014) que contiene datos cuantitativos sobre los procesos de transición política experimentados durante el periodo de estudio.</w:t>
      </w:r>
    </w:p>
    <w:p w14:paraId="672E95CF" w14:textId="77777777" w:rsidR="00765301" w:rsidRPr="00765301" w:rsidRDefault="00765301" w:rsidP="00765301">
      <w:pPr>
        <w:spacing w:after="492" w:line="340" w:lineRule="auto"/>
        <w:jc w:val="both"/>
        <w:rPr>
          <w:lang w:val="es"/>
        </w:rPr>
      </w:pPr>
      <w:r w:rsidRPr="00765301">
        <w:rPr>
          <w:lang w:val="es"/>
        </w:rPr>
        <w:t xml:space="preserve">En el proceso de selección de casos se decidió excluir deliberadamente a las transiciones de las guerras civiles, ya que estos casos difieren cualitativamente de las transiciones ocurridas en los países que recuperaron su tradición democrática o que se independizaron de estados autoritarios </w:t>
      </w:r>
      <w:r w:rsidRPr="00765301">
        <w:rPr>
          <w:lang w:val="es"/>
        </w:rPr>
        <w:lastRenderedPageBreak/>
        <w:t xml:space="preserve">disueltos, como la ex Unión Soviética o la ex Yugoslavia. Se considera que no es conveniente para el análisis agrupar casos de transiciones que no son iguales, sin distinguir entre las transiciones democráticas, que son los casos emblemáticos de la justicia transicional, y los casos de países posconflicto que lidian con el </w:t>
      </w:r>
      <w:proofErr w:type="spellStart"/>
      <w:r w:rsidRPr="00765301">
        <w:rPr>
          <w:i/>
          <w:iCs/>
          <w:lang w:val="es"/>
        </w:rPr>
        <w:t>jus</w:t>
      </w:r>
      <w:proofErr w:type="spellEnd"/>
      <w:r w:rsidRPr="00765301">
        <w:rPr>
          <w:i/>
          <w:iCs/>
          <w:lang w:val="es"/>
        </w:rPr>
        <w:t xml:space="preserve"> </w:t>
      </w:r>
      <w:proofErr w:type="spellStart"/>
      <w:r w:rsidRPr="00765301">
        <w:rPr>
          <w:i/>
          <w:iCs/>
          <w:lang w:val="es"/>
        </w:rPr>
        <w:t>postbellum</w:t>
      </w:r>
      <w:proofErr w:type="spellEnd"/>
      <w:r w:rsidRPr="00765301">
        <w:rPr>
          <w:lang w:val="es"/>
        </w:rPr>
        <w:t>.</w:t>
      </w:r>
    </w:p>
    <w:p w14:paraId="01361F96" w14:textId="1CE581E8" w:rsidR="00765301" w:rsidRPr="00765301" w:rsidRDefault="00765301" w:rsidP="00765301">
      <w:pPr>
        <w:spacing w:after="492" w:line="340" w:lineRule="auto"/>
        <w:jc w:val="both"/>
        <w:rPr>
          <w:lang w:val="es"/>
        </w:rPr>
      </w:pPr>
      <w:r w:rsidRPr="00765301">
        <w:rPr>
          <w:lang w:val="es"/>
        </w:rPr>
        <w:t xml:space="preserve">La unidad de análisis de la base de datos es el año de transición por país. Esto quiere decir, que la base de datos almacena y sistematiza la información de los países en los años posteriores a la recuperación de la democracia. La base de datos contiene 1.818 observaciones anidadas en 111 transiciones con diferentes años de transición (T = </w:t>
      </w:r>
      <w:r w:rsidR="00A27784">
        <w:rPr>
          <w:lang w:val="es"/>
        </w:rPr>
        <w:t>1</w:t>
      </w:r>
      <w:r w:rsidRPr="00765301">
        <w:rPr>
          <w:lang w:val="es"/>
        </w:rPr>
        <w:t xml:space="preserve"> - </w:t>
      </w:r>
      <w:r w:rsidR="00A27784">
        <w:rPr>
          <w:lang w:val="es"/>
        </w:rPr>
        <w:t>37</w:t>
      </w:r>
      <w:r w:rsidRPr="00765301">
        <w:rPr>
          <w:lang w:val="es"/>
        </w:rPr>
        <w:t>).</w:t>
      </w:r>
    </w:p>
    <w:p w14:paraId="14667ADD" w14:textId="570C63A4" w:rsidR="00765301" w:rsidRDefault="00765301" w:rsidP="00765301">
      <w:pPr>
        <w:spacing w:after="492" w:line="340" w:lineRule="auto"/>
        <w:jc w:val="both"/>
        <w:rPr>
          <w:lang w:val="es"/>
        </w:rPr>
      </w:pPr>
      <w:r w:rsidRPr="00765301">
        <w:rPr>
          <w:lang w:val="es"/>
        </w:rPr>
        <w:t>En los casos de procesos de transición democrática interrumpidos por golpes de estado, conflictos armados o regresiones autoritarias, se excluye de la base de datos la información de los años en los que estuvo ausente el régimen democrático. Asimismo, en los países que experimentaron más de una transición democrática durante el periodo de estudio, como es el de caso de Argentina entre los años 1973 - 1976 y 1983 en adelante, se incluye sólo la información de los años posteriores a la recuperación de la democracia. La figura 1 muestra las transiciones por país incorporados en la base de datos.</w:t>
      </w:r>
    </w:p>
    <w:p w14:paraId="6180455C" w14:textId="4B85FF47" w:rsidR="00765301" w:rsidRPr="00765301" w:rsidRDefault="00765301" w:rsidP="00765301">
      <w:pPr>
        <w:spacing w:after="492" w:line="340" w:lineRule="auto"/>
        <w:jc w:val="center"/>
        <w:rPr>
          <w:iCs/>
          <w:lang w:val="es"/>
        </w:rPr>
      </w:pPr>
      <w:r w:rsidRPr="00765301">
        <w:rPr>
          <w:b/>
          <w:bCs/>
          <w:iCs/>
          <w:lang w:val="es"/>
        </w:rPr>
        <w:t>Figura 1</w:t>
      </w:r>
      <w:r>
        <w:rPr>
          <w:b/>
          <w:bCs/>
          <w:iCs/>
          <w:lang w:val="es"/>
        </w:rPr>
        <w:t>:</w:t>
      </w:r>
      <w:r w:rsidRPr="00765301">
        <w:rPr>
          <w:iCs/>
          <w:lang w:val="es"/>
        </w:rPr>
        <w:t xml:space="preserve"> Transiciones democráticas incluidas en la muestra (n = 111)</w:t>
      </w:r>
    </w:p>
    <w:p w14:paraId="3A841AB2" w14:textId="77777777" w:rsidR="00765301" w:rsidRPr="00765301" w:rsidRDefault="00765301" w:rsidP="00AA2A27">
      <w:pPr>
        <w:spacing w:after="492" w:line="340" w:lineRule="auto"/>
        <w:jc w:val="center"/>
        <w:rPr>
          <w:lang w:val="es"/>
        </w:rPr>
      </w:pPr>
      <w:r w:rsidRPr="00765301">
        <w:rPr>
          <w:lang w:val="es"/>
        </w:rPr>
        <w:drawing>
          <wp:inline distT="0" distB="0" distL="0" distR="0" wp14:anchorId="35E9C765" wp14:editId="55033B9A">
            <wp:extent cx="4412974" cy="2377440"/>
            <wp:effectExtent l="0" t="0" r="6985" b="3810"/>
            <wp:docPr id="25" name="Picture" descr="Figura 1. Transiciones democráticas incluidas en la muestra (n = 111)"/>
            <wp:cNvGraphicFramePr/>
            <a:graphic xmlns:a="http://schemas.openxmlformats.org/drawingml/2006/main">
              <a:graphicData uri="http://schemas.openxmlformats.org/drawingml/2006/picture">
                <pic:pic xmlns:pic="http://schemas.openxmlformats.org/drawingml/2006/picture">
                  <pic:nvPicPr>
                    <pic:cNvPr id="26" name="Picture" descr="informe_4_files/figure-docx/unnamed-chunk-1-1.png"/>
                    <pic:cNvPicPr>
                      <a:picLocks noChangeAspect="1" noChangeArrowheads="1"/>
                    </pic:cNvPicPr>
                  </pic:nvPicPr>
                  <pic:blipFill>
                    <a:blip r:embed="rId8"/>
                    <a:stretch>
                      <a:fillRect/>
                    </a:stretch>
                  </pic:blipFill>
                  <pic:spPr bwMode="auto">
                    <a:xfrm>
                      <a:off x="0" y="0"/>
                      <a:ext cx="4412974" cy="2377440"/>
                    </a:xfrm>
                    <a:prstGeom prst="rect">
                      <a:avLst/>
                    </a:prstGeom>
                    <a:noFill/>
                    <a:ln w="9525">
                      <a:noFill/>
                      <a:headEnd/>
                      <a:tailEnd/>
                    </a:ln>
                  </pic:spPr>
                </pic:pic>
              </a:graphicData>
            </a:graphic>
          </wp:inline>
        </w:drawing>
      </w:r>
    </w:p>
    <w:p w14:paraId="3CF1F4B3" w14:textId="2A1E89F1" w:rsidR="00765301" w:rsidRDefault="00765301" w:rsidP="00765301">
      <w:pPr>
        <w:pStyle w:val="Ttulo2"/>
        <w:rPr>
          <w:lang w:val="es"/>
        </w:rPr>
      </w:pPr>
      <w:r>
        <w:rPr>
          <w:lang w:val="es"/>
        </w:rPr>
        <w:lastRenderedPageBreak/>
        <w:t>3. Variables</w:t>
      </w:r>
    </w:p>
    <w:p w14:paraId="709E9978" w14:textId="7BB9F703" w:rsidR="00765301" w:rsidRDefault="00765301" w:rsidP="00765301">
      <w:pPr>
        <w:pStyle w:val="Ttulo3"/>
        <w:rPr>
          <w:lang w:val="es"/>
        </w:rPr>
      </w:pPr>
      <w:r>
        <w:rPr>
          <w:lang w:val="es"/>
        </w:rPr>
        <w:t>3.1 Variable dependiente: Protección de los derechos humanos</w:t>
      </w:r>
    </w:p>
    <w:p w14:paraId="3B40491D" w14:textId="77777777" w:rsidR="00765301" w:rsidRPr="00765301" w:rsidRDefault="00765301" w:rsidP="00765301">
      <w:pPr>
        <w:spacing w:after="492" w:line="340" w:lineRule="auto"/>
        <w:jc w:val="both"/>
        <w:rPr>
          <w:lang w:val="es"/>
        </w:rPr>
      </w:pPr>
      <w:r w:rsidRPr="00765301">
        <w:rPr>
          <w:lang w:val="es"/>
        </w:rPr>
        <w:t>Para analizar los niveles de protección de los derechos humanos observados en los años de transición por país, se incorporaron los dos índices más utilizados en los estudios de represión y de justicia transicional: Índice de Derechos de Integridad de Cingranelli y Richards (CIRI) (Cingranelli et al., 2014) y la Escala de Terror Político (PTS) de la Universidad de Carolina del Norte (Wood &amp; Gibney, 2010). Cómo se explicó anteriormente, el índice CIRI mide el nivel de respeto de los gobiernos por los derechos de integridad física en 202 países, entre los años 1981 y 2011, a través de una escala de ocho puntos, donde los puntajes más altos indican un mayor nivel de protección estatal frente a la tortura, el asesinato, la prisión política y la desaparición forzada. Por su parte, la escala PTS mide el nivel de violencia estatal como violación de los derechos de integridad física en 202 países, entre los años 1976 y 2019, a través de tres escalas de cinco puntos (una para cada fuente de información), donde los puntajes más altos indican un mayor nivel de terror político y, por tanto, de desprotección de los derechos de integridad física.</w:t>
      </w:r>
    </w:p>
    <w:p w14:paraId="284633B0" w14:textId="08452EA5" w:rsidR="00765301" w:rsidRDefault="00765301" w:rsidP="001C1263">
      <w:pPr>
        <w:spacing w:after="492" w:line="340" w:lineRule="auto"/>
        <w:jc w:val="center"/>
        <w:rPr>
          <w:lang w:val="es"/>
        </w:rPr>
      </w:pPr>
      <w:r w:rsidRPr="006F0709">
        <w:rPr>
          <w:b/>
          <w:bCs/>
          <w:lang w:val="es"/>
        </w:rPr>
        <w:t>Figura 2.</w:t>
      </w:r>
      <w:r>
        <w:rPr>
          <w:lang w:val="es"/>
        </w:rPr>
        <w:t xml:space="preserve"> Tendencia de la protección de los derechos humanos</w:t>
      </w:r>
      <w:r w:rsidR="006F0709">
        <w:rPr>
          <w:lang w:val="es"/>
        </w:rPr>
        <w:t xml:space="preserve"> en las democracias post autoritarias</w:t>
      </w:r>
      <w:r w:rsidR="001C1263">
        <w:rPr>
          <w:lang w:val="es"/>
        </w:rPr>
        <w:t xml:space="preserve"> (1970 - 2011)</w:t>
      </w:r>
    </w:p>
    <w:p w14:paraId="11980AFD" w14:textId="188236F2" w:rsidR="001C1263" w:rsidRDefault="001C1263" w:rsidP="001C1263">
      <w:pPr>
        <w:spacing w:after="492" w:line="340" w:lineRule="auto"/>
        <w:jc w:val="center"/>
        <w:rPr>
          <w:lang w:val="es"/>
        </w:rPr>
      </w:pPr>
      <w:r>
        <w:rPr>
          <w:noProof/>
        </w:rPr>
        <w:drawing>
          <wp:inline distT="0" distB="0" distL="0" distR="0" wp14:anchorId="5DF0C6D7" wp14:editId="228745BD">
            <wp:extent cx="3727450" cy="2463014"/>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8874" cy="2496994"/>
                    </a:xfrm>
                    <a:prstGeom prst="rect">
                      <a:avLst/>
                    </a:prstGeom>
                    <a:noFill/>
                    <a:ln>
                      <a:noFill/>
                    </a:ln>
                  </pic:spPr>
                </pic:pic>
              </a:graphicData>
            </a:graphic>
          </wp:inline>
        </w:drawing>
      </w:r>
    </w:p>
    <w:p w14:paraId="5682AD24" w14:textId="607CE4F8" w:rsidR="001C1263" w:rsidRDefault="006F0709" w:rsidP="006F0709">
      <w:pPr>
        <w:pStyle w:val="Ttulo3"/>
        <w:rPr>
          <w:lang w:val="es"/>
        </w:rPr>
      </w:pPr>
      <w:r>
        <w:rPr>
          <w:lang w:val="es"/>
        </w:rPr>
        <w:lastRenderedPageBreak/>
        <w:t>3.2 Variables predictoras</w:t>
      </w:r>
      <w:r w:rsidR="00074FEC">
        <w:rPr>
          <w:lang w:val="es"/>
        </w:rPr>
        <w:t>: Medidas de justicia transicional</w:t>
      </w:r>
    </w:p>
    <w:p w14:paraId="052309F8" w14:textId="5B1D5111" w:rsidR="006F0709" w:rsidRDefault="006F0709" w:rsidP="001C1263">
      <w:pPr>
        <w:spacing w:after="492" w:line="340" w:lineRule="auto"/>
        <w:jc w:val="both"/>
        <w:rPr>
          <w:rFonts w:ascii="Times New Roman" w:hAnsi="Times New Roman" w:cs="Times New Roman"/>
          <w:szCs w:val="24"/>
        </w:rPr>
      </w:pPr>
      <w:r>
        <w:rPr>
          <w:rFonts w:ascii="Times New Roman" w:hAnsi="Times New Roman" w:cs="Times New Roman"/>
          <w:szCs w:val="24"/>
        </w:rPr>
        <w:t xml:space="preserve">En cuanto a las variables </w:t>
      </w:r>
      <w:r w:rsidRPr="003234BA">
        <w:rPr>
          <w:rFonts w:ascii="Times New Roman" w:hAnsi="Times New Roman" w:cs="Times New Roman"/>
          <w:szCs w:val="24"/>
        </w:rPr>
        <w:t>independientes</w:t>
      </w:r>
      <w:r>
        <w:rPr>
          <w:rFonts w:ascii="Times New Roman" w:hAnsi="Times New Roman" w:cs="Times New Roman"/>
          <w:szCs w:val="24"/>
        </w:rPr>
        <w:t xml:space="preserve"> que operan como predictores de la protección de los derechos humanos, se seleccionaron los indicadores de </w:t>
      </w:r>
      <w:r w:rsidRPr="003234BA">
        <w:rPr>
          <w:rFonts w:ascii="Times New Roman" w:hAnsi="Times New Roman" w:cs="Times New Roman"/>
          <w:szCs w:val="24"/>
        </w:rPr>
        <w:t>presencia, cantidad y calidad de los mecanismos de justicia transicional presentes en la base de datos elaborada por los académicos especializados en la materia</w:t>
      </w:r>
      <w:r>
        <w:rPr>
          <w:rFonts w:ascii="Times New Roman" w:hAnsi="Times New Roman" w:cs="Times New Roman"/>
          <w:szCs w:val="24"/>
        </w:rPr>
        <w:t xml:space="preserve"> </w:t>
      </w:r>
      <w:r>
        <w:rPr>
          <w:rFonts w:ascii="Times New Roman" w:hAnsi="Times New Roman" w:cs="Times New Roman"/>
          <w:szCs w:val="24"/>
        </w:rPr>
        <w:fldChar w:fldCharType="begin" w:fldLock="1"/>
      </w:r>
      <w:r>
        <w:rPr>
          <w:rFonts w:ascii="Times New Roman" w:hAnsi="Times New Roman" w:cs="Times New Roman"/>
          <w:szCs w:val="24"/>
        </w:rPr>
        <w:instrText>ADDIN CSL_CITATION {"citationItems":[{"id":"ITEM-1","itemData":{"URL":"https://transitionaljusticedata.com/download","accessed":{"date-parts":[["2022","1","23"]]},"author":[{"dropping-particle":"","family":"Dancy","given":"Geoff","non-dropping-particle":"","parse-names":false,"suffix":""},{"dropping-particle":"","family":"Lessa","given":"Francesca","non-dropping-particle":"","parse-names":false,"suffix":""},{"dropping-particle":"","family":"Marchesi","given":"Bridget","non-dropping-particle":"","parse-names":false,"suffix":""},{"dropping-particle":"","family":"Payne","given":"Leigh A.","non-dropping-particle":"","parse-names":false,"suffix":""},{"dropping-particle":"","family":"Pereira","given":"Gabriel","non-dropping-particle":"","parse-names":false,"suffix":""},{"dropping-particle":"","family":"Sikkink","given":"Kathryn","non-dropping-particle":"","parse-names":false,"suffix":""}],"id":"ITEM-1","issued":{"date-parts":[["2014"]]},"title":"The Transitional Justice Research Collaborative Dataset","type":"webpage"},"uris":["http://www.mendeley.com/documents/?uuid=f516c78f-b2c8-3cdf-8fb5-b8466cdddffc"]}],"mendeley":{"formattedCitation":"(Dancy et al., 2014)","plainTextFormattedCitation":"(Dancy et al., 2014)","previouslyFormattedCitation":"(Dancy et al., 2014)"},"properties":{"noteIndex":0},"schema":"https://github.com/citation-style-language/schema/raw/master/csl-citation.json"}</w:instrText>
      </w:r>
      <w:r>
        <w:rPr>
          <w:rFonts w:ascii="Times New Roman" w:hAnsi="Times New Roman" w:cs="Times New Roman"/>
          <w:szCs w:val="24"/>
        </w:rPr>
        <w:fldChar w:fldCharType="separate"/>
      </w:r>
      <w:r w:rsidRPr="005A423F">
        <w:rPr>
          <w:rFonts w:ascii="Times New Roman" w:hAnsi="Times New Roman" w:cs="Times New Roman"/>
          <w:noProof/>
          <w:szCs w:val="24"/>
        </w:rPr>
        <w:t>(Dancy et al., 2014)</w:t>
      </w:r>
      <w:r>
        <w:rPr>
          <w:rFonts w:ascii="Times New Roman" w:hAnsi="Times New Roman" w:cs="Times New Roman"/>
          <w:szCs w:val="24"/>
        </w:rPr>
        <w:fldChar w:fldCharType="end"/>
      </w:r>
      <w:r>
        <w:rPr>
          <w:rFonts w:ascii="Times New Roman" w:hAnsi="Times New Roman" w:cs="Times New Roman"/>
          <w:szCs w:val="24"/>
        </w:rPr>
        <w:t xml:space="preserve">. En concreto se incorporó a la base de datos los indicadores que dan cuenta del </w:t>
      </w:r>
      <w:r w:rsidRPr="003234BA">
        <w:rPr>
          <w:rFonts w:ascii="Times New Roman" w:hAnsi="Times New Roman" w:cs="Times New Roman"/>
          <w:szCs w:val="24"/>
        </w:rPr>
        <w:t>número de juicios y sentencias condenatorias</w:t>
      </w:r>
      <w:r>
        <w:rPr>
          <w:rFonts w:ascii="Times New Roman" w:hAnsi="Times New Roman" w:cs="Times New Roman"/>
          <w:szCs w:val="24"/>
        </w:rPr>
        <w:t xml:space="preserve"> por violaciones de derechos humanos presentes </w:t>
      </w:r>
      <w:r w:rsidRPr="003234BA">
        <w:rPr>
          <w:rFonts w:ascii="Times New Roman" w:hAnsi="Times New Roman" w:cs="Times New Roman"/>
          <w:szCs w:val="24"/>
        </w:rPr>
        <w:t>en cada año de transición</w:t>
      </w:r>
      <w:r>
        <w:rPr>
          <w:rFonts w:ascii="Times New Roman" w:hAnsi="Times New Roman" w:cs="Times New Roman"/>
          <w:szCs w:val="24"/>
        </w:rPr>
        <w:t xml:space="preserve">, y también los indicadores cuantitativos y cualitativos que miden la ocurrencia y calidad de las comisiones en base a la </w:t>
      </w:r>
      <w:r w:rsidRPr="003234BA">
        <w:rPr>
          <w:rFonts w:ascii="Times New Roman" w:hAnsi="Times New Roman" w:cs="Times New Roman"/>
          <w:szCs w:val="24"/>
        </w:rPr>
        <w:t>publicación de informes y la formulación de recomendaciones de reformas o enjuiciamientos.</w:t>
      </w:r>
      <w:r>
        <w:rPr>
          <w:rFonts w:ascii="Times New Roman" w:hAnsi="Times New Roman" w:cs="Times New Roman"/>
          <w:szCs w:val="24"/>
        </w:rPr>
        <w:t xml:space="preserve"> Además, se incorporó un indicador de Amnistías que mide la cantidad de leyes de amnistías presentes en cada transición, incluyen</w:t>
      </w:r>
      <w:r w:rsidR="00901317">
        <w:rPr>
          <w:rFonts w:ascii="Times New Roman" w:hAnsi="Times New Roman" w:cs="Times New Roman"/>
          <w:szCs w:val="24"/>
        </w:rPr>
        <w:t>do</w:t>
      </w:r>
      <w:r>
        <w:rPr>
          <w:rFonts w:ascii="Times New Roman" w:hAnsi="Times New Roman" w:cs="Times New Roman"/>
          <w:szCs w:val="24"/>
        </w:rPr>
        <w:t xml:space="preserve"> las </w:t>
      </w:r>
      <w:r w:rsidRPr="00CD481D">
        <w:rPr>
          <w:rFonts w:ascii="Times New Roman" w:hAnsi="Times New Roman" w:cs="Times New Roman"/>
          <w:szCs w:val="24"/>
        </w:rPr>
        <w:t>leyes de autoamnistía aprobadas por</w:t>
      </w:r>
      <w:r>
        <w:rPr>
          <w:rFonts w:ascii="Times New Roman" w:hAnsi="Times New Roman" w:cs="Times New Roman"/>
          <w:szCs w:val="24"/>
        </w:rPr>
        <w:t xml:space="preserve"> líderes autocráticos </w:t>
      </w:r>
      <w:r w:rsidRPr="009F75EB">
        <w:rPr>
          <w:rFonts w:ascii="Times New Roman" w:hAnsi="Times New Roman" w:cs="Times New Roman"/>
          <w:szCs w:val="24"/>
        </w:rPr>
        <w:t>antes del inicio de la democratización, como el proceso de Chile de 1979.</w:t>
      </w:r>
      <w:r w:rsidR="007B7F27">
        <w:rPr>
          <w:rFonts w:ascii="Times New Roman" w:hAnsi="Times New Roman" w:cs="Times New Roman"/>
          <w:szCs w:val="24"/>
        </w:rPr>
        <w:t xml:space="preserve"> La tabla 1 describe las variables independientes que operan como predictores en el estudio de esta tesis.</w:t>
      </w:r>
    </w:p>
    <w:p w14:paraId="767DBB2A" w14:textId="0FD1C8E3" w:rsidR="007B7F27" w:rsidRDefault="007B7F27" w:rsidP="007B7F27">
      <w:pPr>
        <w:spacing w:after="492" w:line="340" w:lineRule="auto"/>
        <w:jc w:val="center"/>
        <w:rPr>
          <w:rFonts w:ascii="Times New Roman" w:hAnsi="Times New Roman" w:cs="Times New Roman"/>
          <w:szCs w:val="24"/>
        </w:rPr>
      </w:pPr>
      <w:r w:rsidRPr="007B7F27">
        <w:rPr>
          <w:rFonts w:ascii="Times New Roman" w:hAnsi="Times New Roman" w:cs="Times New Roman"/>
          <w:b/>
          <w:bCs/>
          <w:szCs w:val="24"/>
        </w:rPr>
        <w:t>Tabla 1:</w:t>
      </w:r>
      <w:r>
        <w:rPr>
          <w:rFonts w:ascii="Times New Roman" w:hAnsi="Times New Roman" w:cs="Times New Roman"/>
          <w:szCs w:val="24"/>
        </w:rPr>
        <w:t xml:space="preserve"> Estadísticas descriptivas de las variables predictoras</w:t>
      </w:r>
    </w:p>
    <w:tbl>
      <w:tblPr>
        <w:tblW w:w="9205" w:type="dxa"/>
        <w:jc w:val="center"/>
        <w:tblLayout w:type="fixed"/>
        <w:tblLook w:val="0420" w:firstRow="1" w:lastRow="0" w:firstColumn="0" w:lastColumn="0" w:noHBand="0" w:noVBand="1"/>
      </w:tblPr>
      <w:tblGrid>
        <w:gridCol w:w="2552"/>
        <w:gridCol w:w="1134"/>
        <w:gridCol w:w="1044"/>
        <w:gridCol w:w="1080"/>
        <w:gridCol w:w="637"/>
        <w:gridCol w:w="666"/>
        <w:gridCol w:w="1012"/>
        <w:gridCol w:w="1080"/>
      </w:tblGrid>
      <w:tr w:rsidR="00B119BC" w:rsidRPr="007B7F27" w14:paraId="57FAC3A1" w14:textId="77777777" w:rsidTr="00B119BC">
        <w:trPr>
          <w:cantSplit/>
          <w:tblHeader/>
          <w:jc w:val="center"/>
        </w:trPr>
        <w:tc>
          <w:tcPr>
            <w:tcW w:w="255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7317BAC" w14:textId="77777777" w:rsidR="007B7F27" w:rsidRPr="007B7F27" w:rsidRDefault="007B7F27" w:rsidP="00B119BC">
            <w:pPr>
              <w:spacing w:before="240" w:after="0" w:line="340" w:lineRule="auto"/>
              <w:rPr>
                <w:sz w:val="20"/>
                <w:szCs w:val="20"/>
              </w:rPr>
            </w:pPr>
          </w:p>
        </w:tc>
        <w:tc>
          <w:tcPr>
            <w:tcW w:w="113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0625309" w14:textId="3B1F1DE6" w:rsidR="007B7F27" w:rsidRPr="007B7F27" w:rsidRDefault="007B7F27" w:rsidP="00B119BC">
            <w:pPr>
              <w:spacing w:before="240" w:after="0" w:line="340" w:lineRule="auto"/>
              <w:jc w:val="center"/>
              <w:rPr>
                <w:sz w:val="20"/>
                <w:szCs w:val="20"/>
                <w:lang w:val="en-US"/>
              </w:rPr>
            </w:pPr>
            <w:proofErr w:type="spellStart"/>
            <w:r>
              <w:rPr>
                <w:sz w:val="20"/>
                <w:szCs w:val="20"/>
                <w:lang w:val="en-US"/>
              </w:rPr>
              <w:t>Valores</w:t>
            </w:r>
            <w:proofErr w:type="spellEnd"/>
            <w:r>
              <w:rPr>
                <w:sz w:val="20"/>
                <w:szCs w:val="20"/>
                <w:lang w:val="en-US"/>
              </w:rPr>
              <w:t xml:space="preserve"> </w:t>
            </w:r>
            <w:proofErr w:type="spellStart"/>
            <w:r>
              <w:rPr>
                <w:sz w:val="20"/>
                <w:szCs w:val="20"/>
                <w:lang w:val="en-US"/>
              </w:rPr>
              <w:t>distintos</w:t>
            </w:r>
            <w:proofErr w:type="spellEnd"/>
            <w:r>
              <w:rPr>
                <w:sz w:val="20"/>
                <w:szCs w:val="20"/>
                <w:lang w:val="en-US"/>
              </w:rPr>
              <w:t xml:space="preserve"> </w:t>
            </w:r>
          </w:p>
        </w:tc>
        <w:tc>
          <w:tcPr>
            <w:tcW w:w="10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7183E75" w14:textId="33CAD021" w:rsidR="007B7F27" w:rsidRPr="007B7F27" w:rsidRDefault="007B7F27" w:rsidP="00B119BC">
            <w:pPr>
              <w:spacing w:before="240" w:after="0" w:line="340" w:lineRule="auto"/>
              <w:jc w:val="center"/>
              <w:rPr>
                <w:sz w:val="20"/>
                <w:szCs w:val="20"/>
                <w:lang w:val="en-US"/>
              </w:rPr>
            </w:pPr>
            <w:r>
              <w:rPr>
                <w:sz w:val="20"/>
                <w:szCs w:val="20"/>
                <w:lang w:val="en-US"/>
              </w:rPr>
              <w:t xml:space="preserve">Casos </w:t>
            </w:r>
            <w:proofErr w:type="spellStart"/>
            <w:r>
              <w:rPr>
                <w:sz w:val="20"/>
                <w:szCs w:val="20"/>
                <w:lang w:val="en-US"/>
              </w:rPr>
              <w:t>perdidos</w:t>
            </w:r>
            <w:proofErr w:type="spellEnd"/>
            <w:r>
              <w:rPr>
                <w:sz w:val="20"/>
                <w:szCs w:val="20"/>
                <w:lang w:val="en-US"/>
              </w:rPr>
              <w:t xml:space="preserve"> </w:t>
            </w:r>
            <w:r w:rsidRPr="007B7F27">
              <w:rPr>
                <w:sz w:val="20"/>
                <w:szCs w:val="20"/>
                <w:lang w:val="en-US"/>
              </w:rPr>
              <w:t>(%)</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8210590" w14:textId="2F82592A" w:rsidR="007B7F27" w:rsidRPr="007B7F27" w:rsidRDefault="007B7F27" w:rsidP="00B119BC">
            <w:pPr>
              <w:spacing w:before="240" w:after="0" w:line="340" w:lineRule="auto"/>
              <w:jc w:val="center"/>
              <w:rPr>
                <w:sz w:val="20"/>
                <w:szCs w:val="20"/>
                <w:lang w:val="en-US"/>
              </w:rPr>
            </w:pPr>
            <w:r w:rsidRPr="007B7F27">
              <w:rPr>
                <w:sz w:val="20"/>
                <w:szCs w:val="20"/>
                <w:lang w:val="en-US"/>
              </w:rPr>
              <w:t>Me</w:t>
            </w:r>
            <w:r>
              <w:rPr>
                <w:sz w:val="20"/>
                <w:szCs w:val="20"/>
                <w:lang w:val="en-US"/>
              </w:rPr>
              <w:t>dia</w:t>
            </w:r>
          </w:p>
        </w:tc>
        <w:tc>
          <w:tcPr>
            <w:tcW w:w="63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5DF5748" w14:textId="2E1A2E3D" w:rsidR="007B7F27" w:rsidRPr="007B7F27" w:rsidRDefault="007B7F27" w:rsidP="00B119BC">
            <w:pPr>
              <w:spacing w:before="240" w:after="0" w:line="340" w:lineRule="auto"/>
              <w:jc w:val="center"/>
              <w:rPr>
                <w:sz w:val="20"/>
                <w:szCs w:val="20"/>
                <w:lang w:val="en-US"/>
              </w:rPr>
            </w:pPr>
            <w:r>
              <w:rPr>
                <w:sz w:val="20"/>
                <w:szCs w:val="20"/>
                <w:lang w:val="en-US"/>
              </w:rPr>
              <w:t>DE</w:t>
            </w:r>
          </w:p>
        </w:tc>
        <w:tc>
          <w:tcPr>
            <w:tcW w:w="66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4242347" w14:textId="77777777" w:rsidR="007B7F27" w:rsidRPr="007B7F27" w:rsidRDefault="007B7F27" w:rsidP="00B119BC">
            <w:pPr>
              <w:spacing w:before="240" w:after="0" w:line="340" w:lineRule="auto"/>
              <w:jc w:val="center"/>
              <w:rPr>
                <w:sz w:val="20"/>
                <w:szCs w:val="20"/>
                <w:lang w:val="en-US"/>
              </w:rPr>
            </w:pPr>
            <w:r w:rsidRPr="007B7F27">
              <w:rPr>
                <w:sz w:val="20"/>
                <w:szCs w:val="20"/>
                <w:lang w:val="en-US"/>
              </w:rPr>
              <w:t>Min</w:t>
            </w:r>
          </w:p>
        </w:tc>
        <w:tc>
          <w:tcPr>
            <w:tcW w:w="101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969FE28" w14:textId="3D6CAF81" w:rsidR="007B7F27" w:rsidRPr="007B7F27" w:rsidRDefault="007B7F27" w:rsidP="00B119BC">
            <w:pPr>
              <w:spacing w:before="240" w:after="0" w:line="340" w:lineRule="auto"/>
              <w:jc w:val="center"/>
              <w:rPr>
                <w:sz w:val="20"/>
                <w:szCs w:val="20"/>
                <w:lang w:val="en-US"/>
              </w:rPr>
            </w:pPr>
            <w:proofErr w:type="spellStart"/>
            <w:r w:rsidRPr="007B7F27">
              <w:rPr>
                <w:sz w:val="20"/>
                <w:szCs w:val="20"/>
                <w:lang w:val="en-US"/>
              </w:rPr>
              <w:t>Median</w:t>
            </w:r>
            <w:r>
              <w:rPr>
                <w:sz w:val="20"/>
                <w:szCs w:val="20"/>
                <w:lang w:val="en-US"/>
              </w:rPr>
              <w:t>a</w:t>
            </w:r>
            <w:proofErr w:type="spellEnd"/>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2483A8A" w14:textId="77777777" w:rsidR="007B7F27" w:rsidRPr="007B7F27" w:rsidRDefault="007B7F27" w:rsidP="00B119BC">
            <w:pPr>
              <w:spacing w:before="240" w:after="0" w:line="340" w:lineRule="auto"/>
              <w:jc w:val="center"/>
              <w:rPr>
                <w:sz w:val="20"/>
                <w:szCs w:val="20"/>
                <w:lang w:val="en-US"/>
              </w:rPr>
            </w:pPr>
            <w:r w:rsidRPr="007B7F27">
              <w:rPr>
                <w:sz w:val="20"/>
                <w:szCs w:val="20"/>
                <w:lang w:val="en-US"/>
              </w:rPr>
              <w:t>Max</w:t>
            </w:r>
          </w:p>
        </w:tc>
      </w:tr>
      <w:tr w:rsidR="00B119BC" w:rsidRPr="007B7F27" w14:paraId="54E1F186" w14:textId="77777777" w:rsidTr="00B119BC">
        <w:trPr>
          <w:cantSplit/>
          <w:jc w:val="center"/>
        </w:trPr>
        <w:tc>
          <w:tcPr>
            <w:tcW w:w="2552" w:type="dxa"/>
            <w:shd w:val="clear" w:color="auto" w:fill="FFFFFF"/>
            <w:tcMar>
              <w:top w:w="0" w:type="dxa"/>
              <w:left w:w="0" w:type="dxa"/>
              <w:bottom w:w="0" w:type="dxa"/>
              <w:right w:w="0" w:type="dxa"/>
            </w:tcMar>
            <w:vAlign w:val="center"/>
          </w:tcPr>
          <w:p w14:paraId="4A2FEF4C" w14:textId="77777777" w:rsidR="007B7F27" w:rsidRPr="007B7F27" w:rsidRDefault="007B7F27" w:rsidP="00B119BC">
            <w:pPr>
              <w:spacing w:before="240" w:after="0" w:line="340" w:lineRule="auto"/>
              <w:rPr>
                <w:sz w:val="20"/>
                <w:szCs w:val="20"/>
                <w:lang w:val="en-US"/>
              </w:rPr>
            </w:pPr>
            <w:proofErr w:type="spellStart"/>
            <w:r w:rsidRPr="007B7F27">
              <w:rPr>
                <w:sz w:val="20"/>
                <w:szCs w:val="20"/>
                <w:lang w:val="en-US"/>
              </w:rPr>
              <w:t>Enjuiciamientos</w:t>
            </w:r>
            <w:proofErr w:type="spellEnd"/>
            <w:r w:rsidRPr="007B7F27">
              <w:rPr>
                <w:sz w:val="20"/>
                <w:szCs w:val="20"/>
                <w:lang w:val="en-US"/>
              </w:rPr>
              <w:t xml:space="preserve"> (</w:t>
            </w:r>
            <w:proofErr w:type="spellStart"/>
            <w:r w:rsidRPr="007B7F27">
              <w:rPr>
                <w:sz w:val="20"/>
                <w:szCs w:val="20"/>
                <w:lang w:val="en-US"/>
              </w:rPr>
              <w:t>acumulados</w:t>
            </w:r>
            <w:proofErr w:type="spellEnd"/>
            <w:r w:rsidRPr="007B7F27">
              <w:rPr>
                <w:sz w:val="20"/>
                <w:szCs w:val="20"/>
                <w:lang w:val="en-US"/>
              </w:rPr>
              <w:t>)</w:t>
            </w:r>
          </w:p>
        </w:tc>
        <w:tc>
          <w:tcPr>
            <w:tcW w:w="1134" w:type="dxa"/>
            <w:shd w:val="clear" w:color="auto" w:fill="FFFFFF"/>
            <w:tcMar>
              <w:top w:w="0" w:type="dxa"/>
              <w:left w:w="0" w:type="dxa"/>
              <w:bottom w:w="0" w:type="dxa"/>
              <w:right w:w="0" w:type="dxa"/>
            </w:tcMar>
            <w:vAlign w:val="center"/>
          </w:tcPr>
          <w:p w14:paraId="2BFC2175" w14:textId="77777777" w:rsidR="007B7F27" w:rsidRPr="007B7F27" w:rsidRDefault="007B7F27" w:rsidP="00B119BC">
            <w:pPr>
              <w:spacing w:before="240" w:after="0" w:line="340" w:lineRule="auto"/>
              <w:jc w:val="center"/>
              <w:rPr>
                <w:sz w:val="20"/>
                <w:szCs w:val="20"/>
                <w:lang w:val="en-US"/>
              </w:rPr>
            </w:pPr>
            <w:r w:rsidRPr="007B7F27">
              <w:rPr>
                <w:sz w:val="20"/>
                <w:szCs w:val="20"/>
                <w:lang w:val="en-US"/>
              </w:rPr>
              <w:t>42</w:t>
            </w:r>
          </w:p>
        </w:tc>
        <w:tc>
          <w:tcPr>
            <w:tcW w:w="1044" w:type="dxa"/>
            <w:shd w:val="clear" w:color="auto" w:fill="FFFFFF"/>
            <w:tcMar>
              <w:top w:w="0" w:type="dxa"/>
              <w:left w:w="0" w:type="dxa"/>
              <w:bottom w:w="0" w:type="dxa"/>
              <w:right w:w="0" w:type="dxa"/>
            </w:tcMar>
            <w:vAlign w:val="center"/>
          </w:tcPr>
          <w:p w14:paraId="029C6019" w14:textId="77777777" w:rsidR="007B7F27" w:rsidRPr="007B7F27" w:rsidRDefault="007B7F27" w:rsidP="00B119BC">
            <w:pPr>
              <w:spacing w:before="240" w:after="0" w:line="340" w:lineRule="auto"/>
              <w:jc w:val="center"/>
              <w:rPr>
                <w:sz w:val="20"/>
                <w:szCs w:val="20"/>
                <w:lang w:val="en-US"/>
              </w:rPr>
            </w:pPr>
            <w:r w:rsidRPr="007B7F27">
              <w:rPr>
                <w:sz w:val="20"/>
                <w:szCs w:val="20"/>
                <w:lang w:val="en-US"/>
              </w:rPr>
              <w:t>0</w:t>
            </w:r>
          </w:p>
        </w:tc>
        <w:tc>
          <w:tcPr>
            <w:tcW w:w="1080" w:type="dxa"/>
            <w:shd w:val="clear" w:color="auto" w:fill="FFFFFF"/>
            <w:tcMar>
              <w:top w:w="0" w:type="dxa"/>
              <w:left w:w="0" w:type="dxa"/>
              <w:bottom w:w="0" w:type="dxa"/>
              <w:right w:w="0" w:type="dxa"/>
            </w:tcMar>
            <w:vAlign w:val="center"/>
          </w:tcPr>
          <w:p w14:paraId="441F4359" w14:textId="77777777" w:rsidR="007B7F27" w:rsidRPr="007B7F27" w:rsidRDefault="007B7F27" w:rsidP="00B119BC">
            <w:pPr>
              <w:spacing w:before="240" w:after="0" w:line="340" w:lineRule="auto"/>
              <w:jc w:val="center"/>
              <w:rPr>
                <w:sz w:val="20"/>
                <w:szCs w:val="20"/>
                <w:lang w:val="en-US"/>
              </w:rPr>
            </w:pPr>
            <w:r w:rsidRPr="007B7F27">
              <w:rPr>
                <w:sz w:val="20"/>
                <w:szCs w:val="20"/>
                <w:lang w:val="en-US"/>
              </w:rPr>
              <w:t>3.4</w:t>
            </w:r>
          </w:p>
        </w:tc>
        <w:tc>
          <w:tcPr>
            <w:tcW w:w="637" w:type="dxa"/>
            <w:shd w:val="clear" w:color="auto" w:fill="FFFFFF"/>
            <w:tcMar>
              <w:top w:w="0" w:type="dxa"/>
              <w:left w:w="0" w:type="dxa"/>
              <w:bottom w:w="0" w:type="dxa"/>
              <w:right w:w="0" w:type="dxa"/>
            </w:tcMar>
            <w:vAlign w:val="center"/>
          </w:tcPr>
          <w:p w14:paraId="7E6783E0" w14:textId="77777777" w:rsidR="007B7F27" w:rsidRPr="007B7F27" w:rsidRDefault="007B7F27" w:rsidP="00B119BC">
            <w:pPr>
              <w:spacing w:before="240" w:after="0" w:line="340" w:lineRule="auto"/>
              <w:jc w:val="center"/>
              <w:rPr>
                <w:sz w:val="20"/>
                <w:szCs w:val="20"/>
                <w:lang w:val="en-US"/>
              </w:rPr>
            </w:pPr>
            <w:r w:rsidRPr="007B7F27">
              <w:rPr>
                <w:sz w:val="20"/>
                <w:szCs w:val="20"/>
                <w:lang w:val="en-US"/>
              </w:rPr>
              <w:t>6.3</w:t>
            </w:r>
          </w:p>
        </w:tc>
        <w:tc>
          <w:tcPr>
            <w:tcW w:w="666" w:type="dxa"/>
            <w:shd w:val="clear" w:color="auto" w:fill="FFFFFF"/>
            <w:tcMar>
              <w:top w:w="0" w:type="dxa"/>
              <w:left w:w="0" w:type="dxa"/>
              <w:bottom w:w="0" w:type="dxa"/>
              <w:right w:w="0" w:type="dxa"/>
            </w:tcMar>
            <w:vAlign w:val="center"/>
          </w:tcPr>
          <w:p w14:paraId="643B1159" w14:textId="77777777" w:rsidR="007B7F27" w:rsidRPr="007B7F27" w:rsidRDefault="007B7F27" w:rsidP="00B119BC">
            <w:pPr>
              <w:spacing w:before="240" w:after="0" w:line="340" w:lineRule="auto"/>
              <w:jc w:val="center"/>
              <w:rPr>
                <w:sz w:val="20"/>
                <w:szCs w:val="20"/>
                <w:lang w:val="en-US"/>
              </w:rPr>
            </w:pPr>
            <w:r w:rsidRPr="007B7F27">
              <w:rPr>
                <w:sz w:val="20"/>
                <w:szCs w:val="20"/>
                <w:lang w:val="en-US"/>
              </w:rPr>
              <w:t>0.0</w:t>
            </w:r>
          </w:p>
        </w:tc>
        <w:tc>
          <w:tcPr>
            <w:tcW w:w="1012" w:type="dxa"/>
            <w:shd w:val="clear" w:color="auto" w:fill="FFFFFF"/>
            <w:tcMar>
              <w:top w:w="0" w:type="dxa"/>
              <w:left w:w="0" w:type="dxa"/>
              <w:bottom w:w="0" w:type="dxa"/>
              <w:right w:w="0" w:type="dxa"/>
            </w:tcMar>
            <w:vAlign w:val="center"/>
          </w:tcPr>
          <w:p w14:paraId="49156F9A" w14:textId="77777777" w:rsidR="007B7F27" w:rsidRPr="007B7F27" w:rsidRDefault="007B7F27" w:rsidP="00B119BC">
            <w:pPr>
              <w:spacing w:before="240" w:after="0" w:line="340" w:lineRule="auto"/>
              <w:jc w:val="center"/>
              <w:rPr>
                <w:sz w:val="20"/>
                <w:szCs w:val="20"/>
                <w:lang w:val="en-US"/>
              </w:rPr>
            </w:pPr>
            <w:r w:rsidRPr="007B7F27">
              <w:rPr>
                <w:sz w:val="20"/>
                <w:szCs w:val="20"/>
                <w:lang w:val="en-US"/>
              </w:rPr>
              <w:t>1.0</w:t>
            </w:r>
          </w:p>
        </w:tc>
        <w:tc>
          <w:tcPr>
            <w:tcW w:w="1080" w:type="dxa"/>
            <w:shd w:val="clear" w:color="auto" w:fill="FFFFFF"/>
            <w:tcMar>
              <w:top w:w="0" w:type="dxa"/>
              <w:left w:w="0" w:type="dxa"/>
              <w:bottom w:w="0" w:type="dxa"/>
              <w:right w:w="0" w:type="dxa"/>
            </w:tcMar>
            <w:vAlign w:val="center"/>
          </w:tcPr>
          <w:p w14:paraId="566752D7" w14:textId="77777777" w:rsidR="007B7F27" w:rsidRPr="007B7F27" w:rsidRDefault="007B7F27" w:rsidP="00B119BC">
            <w:pPr>
              <w:spacing w:before="240" w:after="0" w:line="340" w:lineRule="auto"/>
              <w:jc w:val="center"/>
              <w:rPr>
                <w:sz w:val="20"/>
                <w:szCs w:val="20"/>
                <w:lang w:val="en-US"/>
              </w:rPr>
            </w:pPr>
            <w:r w:rsidRPr="007B7F27">
              <w:rPr>
                <w:sz w:val="20"/>
                <w:szCs w:val="20"/>
                <w:lang w:val="en-US"/>
              </w:rPr>
              <w:t>55.0</w:t>
            </w:r>
          </w:p>
        </w:tc>
      </w:tr>
      <w:tr w:rsidR="00B119BC" w:rsidRPr="007B7F27" w14:paraId="583F32E9" w14:textId="77777777" w:rsidTr="00B119BC">
        <w:trPr>
          <w:cantSplit/>
          <w:jc w:val="center"/>
        </w:trPr>
        <w:tc>
          <w:tcPr>
            <w:tcW w:w="2552" w:type="dxa"/>
            <w:shd w:val="clear" w:color="auto" w:fill="FFFFFF"/>
            <w:tcMar>
              <w:top w:w="0" w:type="dxa"/>
              <w:left w:w="0" w:type="dxa"/>
              <w:bottom w:w="0" w:type="dxa"/>
              <w:right w:w="0" w:type="dxa"/>
            </w:tcMar>
            <w:vAlign w:val="center"/>
          </w:tcPr>
          <w:p w14:paraId="7AFB7F56" w14:textId="77777777" w:rsidR="007B7F27" w:rsidRPr="007B7F27" w:rsidRDefault="007B7F27" w:rsidP="00B119BC">
            <w:pPr>
              <w:spacing w:before="240" w:after="0" w:line="340" w:lineRule="auto"/>
              <w:rPr>
                <w:sz w:val="20"/>
                <w:szCs w:val="20"/>
                <w:lang w:val="en-US"/>
              </w:rPr>
            </w:pPr>
            <w:proofErr w:type="spellStart"/>
            <w:r w:rsidRPr="007B7F27">
              <w:rPr>
                <w:sz w:val="20"/>
                <w:szCs w:val="20"/>
                <w:lang w:val="en-US"/>
              </w:rPr>
              <w:t>Sentencias</w:t>
            </w:r>
            <w:proofErr w:type="spellEnd"/>
            <w:r w:rsidRPr="007B7F27">
              <w:rPr>
                <w:sz w:val="20"/>
                <w:szCs w:val="20"/>
                <w:lang w:val="en-US"/>
              </w:rPr>
              <w:t xml:space="preserve"> (</w:t>
            </w:r>
            <w:proofErr w:type="spellStart"/>
            <w:r w:rsidRPr="007B7F27">
              <w:rPr>
                <w:sz w:val="20"/>
                <w:szCs w:val="20"/>
                <w:lang w:val="en-US"/>
              </w:rPr>
              <w:t>acumuladas</w:t>
            </w:r>
            <w:proofErr w:type="spellEnd"/>
            <w:r w:rsidRPr="007B7F27">
              <w:rPr>
                <w:sz w:val="20"/>
                <w:szCs w:val="20"/>
                <w:lang w:val="en-US"/>
              </w:rPr>
              <w:t>)</w:t>
            </w:r>
          </w:p>
        </w:tc>
        <w:tc>
          <w:tcPr>
            <w:tcW w:w="1134" w:type="dxa"/>
            <w:shd w:val="clear" w:color="auto" w:fill="FFFFFF"/>
            <w:tcMar>
              <w:top w:w="0" w:type="dxa"/>
              <w:left w:w="0" w:type="dxa"/>
              <w:bottom w:w="0" w:type="dxa"/>
              <w:right w:w="0" w:type="dxa"/>
            </w:tcMar>
            <w:vAlign w:val="center"/>
          </w:tcPr>
          <w:p w14:paraId="1D510865" w14:textId="77777777" w:rsidR="007B7F27" w:rsidRPr="007B7F27" w:rsidRDefault="007B7F27" w:rsidP="00B119BC">
            <w:pPr>
              <w:spacing w:before="240" w:after="0" w:line="340" w:lineRule="auto"/>
              <w:jc w:val="center"/>
              <w:rPr>
                <w:sz w:val="20"/>
                <w:szCs w:val="20"/>
                <w:lang w:val="en-US"/>
              </w:rPr>
            </w:pPr>
            <w:r w:rsidRPr="007B7F27">
              <w:rPr>
                <w:sz w:val="20"/>
                <w:szCs w:val="20"/>
                <w:lang w:val="en-US"/>
              </w:rPr>
              <w:t>24</w:t>
            </w:r>
          </w:p>
        </w:tc>
        <w:tc>
          <w:tcPr>
            <w:tcW w:w="1044" w:type="dxa"/>
            <w:shd w:val="clear" w:color="auto" w:fill="FFFFFF"/>
            <w:tcMar>
              <w:top w:w="0" w:type="dxa"/>
              <w:left w:w="0" w:type="dxa"/>
              <w:bottom w:w="0" w:type="dxa"/>
              <w:right w:w="0" w:type="dxa"/>
            </w:tcMar>
            <w:vAlign w:val="center"/>
          </w:tcPr>
          <w:p w14:paraId="48BBD1CC" w14:textId="77777777" w:rsidR="007B7F27" w:rsidRPr="007B7F27" w:rsidRDefault="007B7F27" w:rsidP="00B119BC">
            <w:pPr>
              <w:spacing w:before="240" w:after="0" w:line="340" w:lineRule="auto"/>
              <w:jc w:val="center"/>
              <w:rPr>
                <w:sz w:val="20"/>
                <w:szCs w:val="20"/>
                <w:lang w:val="en-US"/>
              </w:rPr>
            </w:pPr>
            <w:r w:rsidRPr="007B7F27">
              <w:rPr>
                <w:sz w:val="20"/>
                <w:szCs w:val="20"/>
                <w:lang w:val="en-US"/>
              </w:rPr>
              <w:t>6</w:t>
            </w:r>
          </w:p>
        </w:tc>
        <w:tc>
          <w:tcPr>
            <w:tcW w:w="1080" w:type="dxa"/>
            <w:shd w:val="clear" w:color="auto" w:fill="FFFFFF"/>
            <w:tcMar>
              <w:top w:w="0" w:type="dxa"/>
              <w:left w:w="0" w:type="dxa"/>
              <w:bottom w:w="0" w:type="dxa"/>
              <w:right w:w="0" w:type="dxa"/>
            </w:tcMar>
            <w:vAlign w:val="center"/>
          </w:tcPr>
          <w:p w14:paraId="686C6768" w14:textId="77777777" w:rsidR="007B7F27" w:rsidRPr="007B7F27" w:rsidRDefault="007B7F27" w:rsidP="00B119BC">
            <w:pPr>
              <w:spacing w:before="240" w:after="0" w:line="340" w:lineRule="auto"/>
              <w:jc w:val="center"/>
              <w:rPr>
                <w:sz w:val="20"/>
                <w:szCs w:val="20"/>
                <w:lang w:val="en-US"/>
              </w:rPr>
            </w:pPr>
            <w:r w:rsidRPr="007B7F27">
              <w:rPr>
                <w:sz w:val="20"/>
                <w:szCs w:val="20"/>
                <w:lang w:val="en-US"/>
              </w:rPr>
              <w:t>1.6</w:t>
            </w:r>
          </w:p>
        </w:tc>
        <w:tc>
          <w:tcPr>
            <w:tcW w:w="637" w:type="dxa"/>
            <w:shd w:val="clear" w:color="auto" w:fill="FFFFFF"/>
            <w:tcMar>
              <w:top w:w="0" w:type="dxa"/>
              <w:left w:w="0" w:type="dxa"/>
              <w:bottom w:w="0" w:type="dxa"/>
              <w:right w:w="0" w:type="dxa"/>
            </w:tcMar>
            <w:vAlign w:val="center"/>
          </w:tcPr>
          <w:p w14:paraId="21C7FAFE" w14:textId="77777777" w:rsidR="007B7F27" w:rsidRPr="007B7F27" w:rsidRDefault="007B7F27" w:rsidP="00B119BC">
            <w:pPr>
              <w:spacing w:before="240" w:after="0" w:line="340" w:lineRule="auto"/>
              <w:jc w:val="center"/>
              <w:rPr>
                <w:sz w:val="20"/>
                <w:szCs w:val="20"/>
                <w:lang w:val="en-US"/>
              </w:rPr>
            </w:pPr>
            <w:r w:rsidRPr="007B7F27">
              <w:rPr>
                <w:sz w:val="20"/>
                <w:szCs w:val="20"/>
                <w:lang w:val="en-US"/>
              </w:rPr>
              <w:t>3.1</w:t>
            </w:r>
          </w:p>
        </w:tc>
        <w:tc>
          <w:tcPr>
            <w:tcW w:w="666" w:type="dxa"/>
            <w:shd w:val="clear" w:color="auto" w:fill="FFFFFF"/>
            <w:tcMar>
              <w:top w:w="0" w:type="dxa"/>
              <w:left w:w="0" w:type="dxa"/>
              <w:bottom w:w="0" w:type="dxa"/>
              <w:right w:w="0" w:type="dxa"/>
            </w:tcMar>
            <w:vAlign w:val="center"/>
          </w:tcPr>
          <w:p w14:paraId="0FF49F91" w14:textId="77777777" w:rsidR="007B7F27" w:rsidRPr="007B7F27" w:rsidRDefault="007B7F27" w:rsidP="00B119BC">
            <w:pPr>
              <w:spacing w:before="240" w:after="0" w:line="340" w:lineRule="auto"/>
              <w:jc w:val="center"/>
              <w:rPr>
                <w:sz w:val="20"/>
                <w:szCs w:val="20"/>
                <w:lang w:val="en-US"/>
              </w:rPr>
            </w:pPr>
            <w:r w:rsidRPr="007B7F27">
              <w:rPr>
                <w:sz w:val="20"/>
                <w:szCs w:val="20"/>
                <w:lang w:val="en-US"/>
              </w:rPr>
              <w:t>0.0</w:t>
            </w:r>
          </w:p>
        </w:tc>
        <w:tc>
          <w:tcPr>
            <w:tcW w:w="1012" w:type="dxa"/>
            <w:shd w:val="clear" w:color="auto" w:fill="FFFFFF"/>
            <w:tcMar>
              <w:top w:w="0" w:type="dxa"/>
              <w:left w:w="0" w:type="dxa"/>
              <w:bottom w:w="0" w:type="dxa"/>
              <w:right w:w="0" w:type="dxa"/>
            </w:tcMar>
            <w:vAlign w:val="center"/>
          </w:tcPr>
          <w:p w14:paraId="369A477B" w14:textId="77777777" w:rsidR="007B7F27" w:rsidRPr="007B7F27" w:rsidRDefault="007B7F27" w:rsidP="00B119BC">
            <w:pPr>
              <w:spacing w:before="240" w:after="0" w:line="340" w:lineRule="auto"/>
              <w:jc w:val="center"/>
              <w:rPr>
                <w:sz w:val="20"/>
                <w:szCs w:val="20"/>
                <w:lang w:val="en-US"/>
              </w:rPr>
            </w:pPr>
            <w:r w:rsidRPr="007B7F27">
              <w:rPr>
                <w:sz w:val="20"/>
                <w:szCs w:val="20"/>
                <w:lang w:val="en-US"/>
              </w:rPr>
              <w:t>0.0</w:t>
            </w:r>
          </w:p>
        </w:tc>
        <w:tc>
          <w:tcPr>
            <w:tcW w:w="1080" w:type="dxa"/>
            <w:shd w:val="clear" w:color="auto" w:fill="FFFFFF"/>
            <w:tcMar>
              <w:top w:w="0" w:type="dxa"/>
              <w:left w:w="0" w:type="dxa"/>
              <w:bottom w:w="0" w:type="dxa"/>
              <w:right w:w="0" w:type="dxa"/>
            </w:tcMar>
            <w:vAlign w:val="center"/>
          </w:tcPr>
          <w:p w14:paraId="57B5104D" w14:textId="77777777" w:rsidR="007B7F27" w:rsidRPr="007B7F27" w:rsidRDefault="007B7F27" w:rsidP="00B119BC">
            <w:pPr>
              <w:spacing w:before="240" w:after="0" w:line="340" w:lineRule="auto"/>
              <w:jc w:val="center"/>
              <w:rPr>
                <w:sz w:val="20"/>
                <w:szCs w:val="20"/>
                <w:lang w:val="en-US"/>
              </w:rPr>
            </w:pPr>
            <w:r w:rsidRPr="007B7F27">
              <w:rPr>
                <w:sz w:val="20"/>
                <w:szCs w:val="20"/>
                <w:lang w:val="en-US"/>
              </w:rPr>
              <w:t>25.0</w:t>
            </w:r>
          </w:p>
        </w:tc>
      </w:tr>
      <w:tr w:rsidR="00B119BC" w:rsidRPr="007B7F27" w14:paraId="03608B8A" w14:textId="77777777" w:rsidTr="00B119BC">
        <w:trPr>
          <w:cantSplit/>
          <w:jc w:val="center"/>
        </w:trPr>
        <w:tc>
          <w:tcPr>
            <w:tcW w:w="2552" w:type="dxa"/>
            <w:shd w:val="clear" w:color="auto" w:fill="FFFFFF"/>
            <w:tcMar>
              <w:top w:w="0" w:type="dxa"/>
              <w:left w:w="0" w:type="dxa"/>
              <w:bottom w:w="0" w:type="dxa"/>
              <w:right w:w="0" w:type="dxa"/>
            </w:tcMar>
            <w:vAlign w:val="center"/>
          </w:tcPr>
          <w:p w14:paraId="0B9105CA" w14:textId="77777777" w:rsidR="007B7F27" w:rsidRPr="007B7F27" w:rsidRDefault="007B7F27" w:rsidP="00B119BC">
            <w:pPr>
              <w:spacing w:before="240" w:after="0" w:line="340" w:lineRule="auto"/>
              <w:rPr>
                <w:sz w:val="20"/>
                <w:szCs w:val="20"/>
                <w:lang w:val="en-US"/>
              </w:rPr>
            </w:pPr>
            <w:proofErr w:type="spellStart"/>
            <w:r w:rsidRPr="007B7F27">
              <w:rPr>
                <w:sz w:val="20"/>
                <w:szCs w:val="20"/>
                <w:lang w:val="en-US"/>
              </w:rPr>
              <w:t>Leyes</w:t>
            </w:r>
            <w:proofErr w:type="spellEnd"/>
            <w:r w:rsidRPr="007B7F27">
              <w:rPr>
                <w:sz w:val="20"/>
                <w:szCs w:val="20"/>
                <w:lang w:val="en-US"/>
              </w:rPr>
              <w:t xml:space="preserve"> de </w:t>
            </w:r>
            <w:proofErr w:type="spellStart"/>
            <w:r w:rsidRPr="007B7F27">
              <w:rPr>
                <w:sz w:val="20"/>
                <w:szCs w:val="20"/>
                <w:lang w:val="en-US"/>
              </w:rPr>
              <w:t>amnistía</w:t>
            </w:r>
            <w:proofErr w:type="spellEnd"/>
            <w:r w:rsidRPr="007B7F27">
              <w:rPr>
                <w:sz w:val="20"/>
                <w:szCs w:val="20"/>
                <w:lang w:val="en-US"/>
              </w:rPr>
              <w:t xml:space="preserve"> (</w:t>
            </w:r>
            <w:proofErr w:type="spellStart"/>
            <w:r w:rsidRPr="007B7F27">
              <w:rPr>
                <w:sz w:val="20"/>
                <w:szCs w:val="20"/>
                <w:lang w:val="en-US"/>
              </w:rPr>
              <w:t>acumuladas</w:t>
            </w:r>
            <w:proofErr w:type="spellEnd"/>
            <w:r w:rsidRPr="007B7F27">
              <w:rPr>
                <w:sz w:val="20"/>
                <w:szCs w:val="20"/>
                <w:lang w:val="en-US"/>
              </w:rPr>
              <w:t>)</w:t>
            </w:r>
          </w:p>
        </w:tc>
        <w:tc>
          <w:tcPr>
            <w:tcW w:w="1134" w:type="dxa"/>
            <w:shd w:val="clear" w:color="auto" w:fill="FFFFFF"/>
            <w:tcMar>
              <w:top w:w="0" w:type="dxa"/>
              <w:left w:w="0" w:type="dxa"/>
              <w:bottom w:w="0" w:type="dxa"/>
              <w:right w:w="0" w:type="dxa"/>
            </w:tcMar>
            <w:vAlign w:val="center"/>
          </w:tcPr>
          <w:p w14:paraId="5597D47F" w14:textId="77777777" w:rsidR="007B7F27" w:rsidRPr="007B7F27" w:rsidRDefault="007B7F27" w:rsidP="00B119BC">
            <w:pPr>
              <w:spacing w:before="240" w:after="0" w:line="340" w:lineRule="auto"/>
              <w:jc w:val="center"/>
              <w:rPr>
                <w:sz w:val="20"/>
                <w:szCs w:val="20"/>
                <w:lang w:val="en-US"/>
              </w:rPr>
            </w:pPr>
            <w:r w:rsidRPr="007B7F27">
              <w:rPr>
                <w:sz w:val="20"/>
                <w:szCs w:val="20"/>
                <w:lang w:val="en-US"/>
              </w:rPr>
              <w:t>7</w:t>
            </w:r>
          </w:p>
        </w:tc>
        <w:tc>
          <w:tcPr>
            <w:tcW w:w="1044" w:type="dxa"/>
            <w:shd w:val="clear" w:color="auto" w:fill="FFFFFF"/>
            <w:tcMar>
              <w:top w:w="0" w:type="dxa"/>
              <w:left w:w="0" w:type="dxa"/>
              <w:bottom w:w="0" w:type="dxa"/>
              <w:right w:w="0" w:type="dxa"/>
            </w:tcMar>
            <w:vAlign w:val="center"/>
          </w:tcPr>
          <w:p w14:paraId="3CBFFC3B" w14:textId="77777777" w:rsidR="007B7F27" w:rsidRPr="007B7F27" w:rsidRDefault="007B7F27" w:rsidP="00B119BC">
            <w:pPr>
              <w:spacing w:before="240" w:after="0" w:line="340" w:lineRule="auto"/>
              <w:jc w:val="center"/>
              <w:rPr>
                <w:sz w:val="20"/>
                <w:szCs w:val="20"/>
                <w:lang w:val="en-US"/>
              </w:rPr>
            </w:pPr>
            <w:r w:rsidRPr="007B7F27">
              <w:rPr>
                <w:sz w:val="20"/>
                <w:szCs w:val="20"/>
                <w:lang w:val="en-US"/>
              </w:rPr>
              <w:t>0</w:t>
            </w:r>
          </w:p>
        </w:tc>
        <w:tc>
          <w:tcPr>
            <w:tcW w:w="1080" w:type="dxa"/>
            <w:shd w:val="clear" w:color="auto" w:fill="FFFFFF"/>
            <w:tcMar>
              <w:top w:w="0" w:type="dxa"/>
              <w:left w:w="0" w:type="dxa"/>
              <w:bottom w:w="0" w:type="dxa"/>
              <w:right w:w="0" w:type="dxa"/>
            </w:tcMar>
            <w:vAlign w:val="center"/>
          </w:tcPr>
          <w:p w14:paraId="2C3C3315" w14:textId="77777777" w:rsidR="007B7F27" w:rsidRPr="007B7F27" w:rsidRDefault="007B7F27" w:rsidP="00B119BC">
            <w:pPr>
              <w:spacing w:before="240" w:after="0" w:line="340" w:lineRule="auto"/>
              <w:jc w:val="center"/>
              <w:rPr>
                <w:sz w:val="20"/>
                <w:szCs w:val="20"/>
                <w:lang w:val="en-US"/>
              </w:rPr>
            </w:pPr>
            <w:r w:rsidRPr="007B7F27">
              <w:rPr>
                <w:sz w:val="20"/>
                <w:szCs w:val="20"/>
                <w:lang w:val="en-US"/>
              </w:rPr>
              <w:t>0.4</w:t>
            </w:r>
          </w:p>
        </w:tc>
        <w:tc>
          <w:tcPr>
            <w:tcW w:w="637" w:type="dxa"/>
            <w:shd w:val="clear" w:color="auto" w:fill="FFFFFF"/>
            <w:tcMar>
              <w:top w:w="0" w:type="dxa"/>
              <w:left w:w="0" w:type="dxa"/>
              <w:bottom w:w="0" w:type="dxa"/>
              <w:right w:w="0" w:type="dxa"/>
            </w:tcMar>
            <w:vAlign w:val="center"/>
          </w:tcPr>
          <w:p w14:paraId="1C8089B1" w14:textId="77777777" w:rsidR="007B7F27" w:rsidRPr="007B7F27" w:rsidRDefault="007B7F27" w:rsidP="00B119BC">
            <w:pPr>
              <w:spacing w:before="240" w:after="0" w:line="340" w:lineRule="auto"/>
              <w:jc w:val="center"/>
              <w:rPr>
                <w:sz w:val="20"/>
                <w:szCs w:val="20"/>
                <w:lang w:val="en-US"/>
              </w:rPr>
            </w:pPr>
            <w:r w:rsidRPr="007B7F27">
              <w:rPr>
                <w:sz w:val="20"/>
                <w:szCs w:val="20"/>
                <w:lang w:val="en-US"/>
              </w:rPr>
              <w:t>1.1</w:t>
            </w:r>
          </w:p>
        </w:tc>
        <w:tc>
          <w:tcPr>
            <w:tcW w:w="666" w:type="dxa"/>
            <w:shd w:val="clear" w:color="auto" w:fill="FFFFFF"/>
            <w:tcMar>
              <w:top w:w="0" w:type="dxa"/>
              <w:left w:w="0" w:type="dxa"/>
              <w:bottom w:w="0" w:type="dxa"/>
              <w:right w:w="0" w:type="dxa"/>
            </w:tcMar>
            <w:vAlign w:val="center"/>
          </w:tcPr>
          <w:p w14:paraId="0A2F15B5" w14:textId="77777777" w:rsidR="007B7F27" w:rsidRPr="007B7F27" w:rsidRDefault="007B7F27" w:rsidP="00B119BC">
            <w:pPr>
              <w:spacing w:before="240" w:after="0" w:line="340" w:lineRule="auto"/>
              <w:jc w:val="center"/>
              <w:rPr>
                <w:sz w:val="20"/>
                <w:szCs w:val="20"/>
                <w:lang w:val="en-US"/>
              </w:rPr>
            </w:pPr>
            <w:r w:rsidRPr="007B7F27">
              <w:rPr>
                <w:sz w:val="20"/>
                <w:szCs w:val="20"/>
                <w:lang w:val="en-US"/>
              </w:rPr>
              <w:t>0.0</w:t>
            </w:r>
          </w:p>
        </w:tc>
        <w:tc>
          <w:tcPr>
            <w:tcW w:w="1012" w:type="dxa"/>
            <w:shd w:val="clear" w:color="auto" w:fill="FFFFFF"/>
            <w:tcMar>
              <w:top w:w="0" w:type="dxa"/>
              <w:left w:w="0" w:type="dxa"/>
              <w:bottom w:w="0" w:type="dxa"/>
              <w:right w:w="0" w:type="dxa"/>
            </w:tcMar>
            <w:vAlign w:val="center"/>
          </w:tcPr>
          <w:p w14:paraId="4B608264" w14:textId="77777777" w:rsidR="007B7F27" w:rsidRPr="007B7F27" w:rsidRDefault="007B7F27" w:rsidP="00B119BC">
            <w:pPr>
              <w:spacing w:before="240" w:after="0" w:line="340" w:lineRule="auto"/>
              <w:jc w:val="center"/>
              <w:rPr>
                <w:sz w:val="20"/>
                <w:szCs w:val="20"/>
                <w:lang w:val="en-US"/>
              </w:rPr>
            </w:pPr>
            <w:r w:rsidRPr="007B7F27">
              <w:rPr>
                <w:sz w:val="20"/>
                <w:szCs w:val="20"/>
                <w:lang w:val="en-US"/>
              </w:rPr>
              <w:t>0.0</w:t>
            </w:r>
          </w:p>
        </w:tc>
        <w:tc>
          <w:tcPr>
            <w:tcW w:w="1080" w:type="dxa"/>
            <w:shd w:val="clear" w:color="auto" w:fill="FFFFFF"/>
            <w:tcMar>
              <w:top w:w="0" w:type="dxa"/>
              <w:left w:w="0" w:type="dxa"/>
              <w:bottom w:w="0" w:type="dxa"/>
              <w:right w:w="0" w:type="dxa"/>
            </w:tcMar>
            <w:vAlign w:val="center"/>
          </w:tcPr>
          <w:p w14:paraId="507714AA" w14:textId="77777777" w:rsidR="007B7F27" w:rsidRPr="007B7F27" w:rsidRDefault="007B7F27" w:rsidP="00B119BC">
            <w:pPr>
              <w:spacing w:before="240" w:after="0" w:line="340" w:lineRule="auto"/>
              <w:jc w:val="center"/>
              <w:rPr>
                <w:sz w:val="20"/>
                <w:szCs w:val="20"/>
                <w:lang w:val="en-US"/>
              </w:rPr>
            </w:pPr>
            <w:r w:rsidRPr="007B7F27">
              <w:rPr>
                <w:sz w:val="20"/>
                <w:szCs w:val="20"/>
                <w:lang w:val="en-US"/>
              </w:rPr>
              <w:t>8.0</w:t>
            </w:r>
          </w:p>
        </w:tc>
      </w:tr>
      <w:tr w:rsidR="00B119BC" w:rsidRPr="007B7F27" w14:paraId="686299D7" w14:textId="77777777" w:rsidTr="00B119BC">
        <w:trPr>
          <w:cantSplit/>
          <w:jc w:val="center"/>
        </w:trPr>
        <w:tc>
          <w:tcPr>
            <w:tcW w:w="2552" w:type="dxa"/>
            <w:shd w:val="clear" w:color="auto" w:fill="FFFFFF"/>
            <w:tcMar>
              <w:top w:w="0" w:type="dxa"/>
              <w:left w:w="0" w:type="dxa"/>
              <w:bottom w:w="0" w:type="dxa"/>
              <w:right w:w="0" w:type="dxa"/>
            </w:tcMar>
            <w:vAlign w:val="center"/>
          </w:tcPr>
          <w:p w14:paraId="29D5CF14" w14:textId="77777777" w:rsidR="007B7F27" w:rsidRPr="007B7F27" w:rsidRDefault="007B7F27" w:rsidP="00B119BC">
            <w:pPr>
              <w:spacing w:before="240" w:after="0" w:line="340" w:lineRule="auto"/>
              <w:rPr>
                <w:sz w:val="20"/>
                <w:szCs w:val="20"/>
              </w:rPr>
            </w:pPr>
            <w:r w:rsidRPr="007B7F27">
              <w:rPr>
                <w:sz w:val="20"/>
                <w:szCs w:val="20"/>
              </w:rPr>
              <w:t>Comisiones de verdad celebradas (acumuladas)</w:t>
            </w:r>
          </w:p>
        </w:tc>
        <w:tc>
          <w:tcPr>
            <w:tcW w:w="1134" w:type="dxa"/>
            <w:shd w:val="clear" w:color="auto" w:fill="FFFFFF"/>
            <w:tcMar>
              <w:top w:w="0" w:type="dxa"/>
              <w:left w:w="0" w:type="dxa"/>
              <w:bottom w:w="0" w:type="dxa"/>
              <w:right w:w="0" w:type="dxa"/>
            </w:tcMar>
            <w:vAlign w:val="center"/>
          </w:tcPr>
          <w:p w14:paraId="0A75F09C" w14:textId="77777777" w:rsidR="007B7F27" w:rsidRPr="007B7F27" w:rsidRDefault="007B7F27" w:rsidP="00B119BC">
            <w:pPr>
              <w:spacing w:before="240" w:after="0" w:line="340" w:lineRule="auto"/>
              <w:jc w:val="center"/>
              <w:rPr>
                <w:sz w:val="20"/>
                <w:szCs w:val="20"/>
                <w:lang w:val="en-US"/>
              </w:rPr>
            </w:pPr>
            <w:r w:rsidRPr="007B7F27">
              <w:rPr>
                <w:sz w:val="20"/>
                <w:szCs w:val="20"/>
                <w:lang w:val="en-US"/>
              </w:rPr>
              <w:t>15</w:t>
            </w:r>
          </w:p>
        </w:tc>
        <w:tc>
          <w:tcPr>
            <w:tcW w:w="1044" w:type="dxa"/>
            <w:shd w:val="clear" w:color="auto" w:fill="FFFFFF"/>
            <w:tcMar>
              <w:top w:w="0" w:type="dxa"/>
              <w:left w:w="0" w:type="dxa"/>
              <w:bottom w:w="0" w:type="dxa"/>
              <w:right w:w="0" w:type="dxa"/>
            </w:tcMar>
            <w:vAlign w:val="center"/>
          </w:tcPr>
          <w:p w14:paraId="699C48F1" w14:textId="77777777" w:rsidR="007B7F27" w:rsidRPr="007B7F27" w:rsidRDefault="007B7F27" w:rsidP="00B119BC">
            <w:pPr>
              <w:spacing w:before="240" w:after="0" w:line="340" w:lineRule="auto"/>
              <w:jc w:val="center"/>
              <w:rPr>
                <w:sz w:val="20"/>
                <w:szCs w:val="20"/>
                <w:lang w:val="en-US"/>
              </w:rPr>
            </w:pPr>
            <w:r w:rsidRPr="007B7F27">
              <w:rPr>
                <w:sz w:val="20"/>
                <w:szCs w:val="20"/>
                <w:lang w:val="en-US"/>
              </w:rPr>
              <w:t>0</w:t>
            </w:r>
          </w:p>
        </w:tc>
        <w:tc>
          <w:tcPr>
            <w:tcW w:w="1080" w:type="dxa"/>
            <w:shd w:val="clear" w:color="auto" w:fill="FFFFFF"/>
            <w:tcMar>
              <w:top w:w="0" w:type="dxa"/>
              <w:left w:w="0" w:type="dxa"/>
              <w:bottom w:w="0" w:type="dxa"/>
              <w:right w:w="0" w:type="dxa"/>
            </w:tcMar>
            <w:vAlign w:val="center"/>
          </w:tcPr>
          <w:p w14:paraId="2BA72F34" w14:textId="77777777" w:rsidR="007B7F27" w:rsidRPr="007B7F27" w:rsidRDefault="007B7F27" w:rsidP="00B119BC">
            <w:pPr>
              <w:spacing w:before="240" w:after="0" w:line="340" w:lineRule="auto"/>
              <w:jc w:val="center"/>
              <w:rPr>
                <w:sz w:val="20"/>
                <w:szCs w:val="20"/>
                <w:lang w:val="en-US"/>
              </w:rPr>
            </w:pPr>
            <w:r w:rsidRPr="007B7F27">
              <w:rPr>
                <w:sz w:val="20"/>
                <w:szCs w:val="20"/>
                <w:lang w:val="en-US"/>
              </w:rPr>
              <w:t>1.0</w:t>
            </w:r>
          </w:p>
        </w:tc>
        <w:tc>
          <w:tcPr>
            <w:tcW w:w="637" w:type="dxa"/>
            <w:shd w:val="clear" w:color="auto" w:fill="FFFFFF"/>
            <w:tcMar>
              <w:top w:w="0" w:type="dxa"/>
              <w:left w:w="0" w:type="dxa"/>
              <w:bottom w:w="0" w:type="dxa"/>
              <w:right w:w="0" w:type="dxa"/>
            </w:tcMar>
            <w:vAlign w:val="center"/>
          </w:tcPr>
          <w:p w14:paraId="47CA95B6" w14:textId="77777777" w:rsidR="007B7F27" w:rsidRPr="007B7F27" w:rsidRDefault="007B7F27" w:rsidP="00B119BC">
            <w:pPr>
              <w:spacing w:before="240" w:after="0" w:line="340" w:lineRule="auto"/>
              <w:jc w:val="center"/>
              <w:rPr>
                <w:sz w:val="20"/>
                <w:szCs w:val="20"/>
                <w:lang w:val="en-US"/>
              </w:rPr>
            </w:pPr>
            <w:r w:rsidRPr="007B7F27">
              <w:rPr>
                <w:sz w:val="20"/>
                <w:szCs w:val="20"/>
                <w:lang w:val="en-US"/>
              </w:rPr>
              <w:t>2.3</w:t>
            </w:r>
          </w:p>
        </w:tc>
        <w:tc>
          <w:tcPr>
            <w:tcW w:w="666" w:type="dxa"/>
            <w:shd w:val="clear" w:color="auto" w:fill="FFFFFF"/>
            <w:tcMar>
              <w:top w:w="0" w:type="dxa"/>
              <w:left w:w="0" w:type="dxa"/>
              <w:bottom w:w="0" w:type="dxa"/>
              <w:right w:w="0" w:type="dxa"/>
            </w:tcMar>
            <w:vAlign w:val="center"/>
          </w:tcPr>
          <w:p w14:paraId="41DE4D52" w14:textId="77777777" w:rsidR="007B7F27" w:rsidRPr="007B7F27" w:rsidRDefault="007B7F27" w:rsidP="00B119BC">
            <w:pPr>
              <w:spacing w:before="240" w:after="0" w:line="340" w:lineRule="auto"/>
              <w:jc w:val="center"/>
              <w:rPr>
                <w:sz w:val="20"/>
                <w:szCs w:val="20"/>
                <w:lang w:val="en-US"/>
              </w:rPr>
            </w:pPr>
            <w:r w:rsidRPr="007B7F27">
              <w:rPr>
                <w:sz w:val="20"/>
                <w:szCs w:val="20"/>
                <w:lang w:val="en-US"/>
              </w:rPr>
              <w:t>0.0</w:t>
            </w:r>
          </w:p>
        </w:tc>
        <w:tc>
          <w:tcPr>
            <w:tcW w:w="1012" w:type="dxa"/>
            <w:shd w:val="clear" w:color="auto" w:fill="FFFFFF"/>
            <w:tcMar>
              <w:top w:w="0" w:type="dxa"/>
              <w:left w:w="0" w:type="dxa"/>
              <w:bottom w:w="0" w:type="dxa"/>
              <w:right w:w="0" w:type="dxa"/>
            </w:tcMar>
            <w:vAlign w:val="center"/>
          </w:tcPr>
          <w:p w14:paraId="08491357" w14:textId="77777777" w:rsidR="007B7F27" w:rsidRPr="007B7F27" w:rsidRDefault="007B7F27" w:rsidP="00B119BC">
            <w:pPr>
              <w:spacing w:before="240" w:after="0" w:line="340" w:lineRule="auto"/>
              <w:jc w:val="center"/>
              <w:rPr>
                <w:sz w:val="20"/>
                <w:szCs w:val="20"/>
                <w:lang w:val="en-US"/>
              </w:rPr>
            </w:pPr>
            <w:r w:rsidRPr="007B7F27">
              <w:rPr>
                <w:sz w:val="20"/>
                <w:szCs w:val="20"/>
                <w:lang w:val="en-US"/>
              </w:rPr>
              <w:t>0.0</w:t>
            </w:r>
          </w:p>
        </w:tc>
        <w:tc>
          <w:tcPr>
            <w:tcW w:w="1080" w:type="dxa"/>
            <w:shd w:val="clear" w:color="auto" w:fill="FFFFFF"/>
            <w:tcMar>
              <w:top w:w="0" w:type="dxa"/>
              <w:left w:w="0" w:type="dxa"/>
              <w:bottom w:w="0" w:type="dxa"/>
              <w:right w:w="0" w:type="dxa"/>
            </w:tcMar>
            <w:vAlign w:val="center"/>
          </w:tcPr>
          <w:p w14:paraId="7677AE32" w14:textId="77777777" w:rsidR="007B7F27" w:rsidRPr="007B7F27" w:rsidRDefault="007B7F27" w:rsidP="00B119BC">
            <w:pPr>
              <w:spacing w:before="240" w:after="0" w:line="340" w:lineRule="auto"/>
              <w:jc w:val="center"/>
              <w:rPr>
                <w:sz w:val="20"/>
                <w:szCs w:val="20"/>
                <w:lang w:val="en-US"/>
              </w:rPr>
            </w:pPr>
            <w:r w:rsidRPr="007B7F27">
              <w:rPr>
                <w:sz w:val="20"/>
                <w:szCs w:val="20"/>
                <w:lang w:val="en-US"/>
              </w:rPr>
              <w:t>14.0</w:t>
            </w:r>
          </w:p>
        </w:tc>
      </w:tr>
      <w:tr w:rsidR="00B119BC" w:rsidRPr="007B7F27" w14:paraId="48EC5B04" w14:textId="77777777" w:rsidTr="00B119BC">
        <w:trPr>
          <w:cantSplit/>
          <w:jc w:val="center"/>
        </w:trPr>
        <w:tc>
          <w:tcPr>
            <w:tcW w:w="2552" w:type="dxa"/>
            <w:tcBorders>
              <w:bottom w:val="single" w:sz="16" w:space="0" w:color="666666"/>
            </w:tcBorders>
            <w:shd w:val="clear" w:color="auto" w:fill="FFFFFF"/>
            <w:tcMar>
              <w:top w:w="0" w:type="dxa"/>
              <w:left w:w="0" w:type="dxa"/>
              <w:bottom w:w="0" w:type="dxa"/>
              <w:right w:w="0" w:type="dxa"/>
            </w:tcMar>
            <w:vAlign w:val="center"/>
          </w:tcPr>
          <w:p w14:paraId="29B4B9AE" w14:textId="77777777" w:rsidR="007B7F27" w:rsidRPr="007B7F27" w:rsidRDefault="007B7F27" w:rsidP="00B119BC">
            <w:pPr>
              <w:spacing w:before="240" w:after="0" w:line="340" w:lineRule="auto"/>
              <w:rPr>
                <w:sz w:val="20"/>
                <w:szCs w:val="20"/>
              </w:rPr>
            </w:pPr>
            <w:r w:rsidRPr="007B7F27">
              <w:rPr>
                <w:sz w:val="20"/>
                <w:szCs w:val="20"/>
              </w:rPr>
              <w:t>Comisiones de verdad finalizadas (acumuladas)</w:t>
            </w:r>
          </w:p>
        </w:tc>
        <w:tc>
          <w:tcPr>
            <w:tcW w:w="1134" w:type="dxa"/>
            <w:tcBorders>
              <w:bottom w:val="single" w:sz="16" w:space="0" w:color="666666"/>
            </w:tcBorders>
            <w:shd w:val="clear" w:color="auto" w:fill="FFFFFF"/>
            <w:tcMar>
              <w:top w:w="0" w:type="dxa"/>
              <w:left w:w="0" w:type="dxa"/>
              <w:bottom w:w="0" w:type="dxa"/>
              <w:right w:w="0" w:type="dxa"/>
            </w:tcMar>
            <w:vAlign w:val="center"/>
          </w:tcPr>
          <w:p w14:paraId="15440342" w14:textId="77777777" w:rsidR="007B7F27" w:rsidRPr="007B7F27" w:rsidRDefault="007B7F27" w:rsidP="00B119BC">
            <w:pPr>
              <w:spacing w:before="240" w:after="0" w:line="340" w:lineRule="auto"/>
              <w:jc w:val="center"/>
              <w:rPr>
                <w:sz w:val="20"/>
                <w:szCs w:val="20"/>
                <w:lang w:val="en-US"/>
              </w:rPr>
            </w:pPr>
            <w:r w:rsidRPr="007B7F27">
              <w:rPr>
                <w:sz w:val="20"/>
                <w:szCs w:val="20"/>
                <w:lang w:val="en-US"/>
              </w:rPr>
              <w:t>5</w:t>
            </w:r>
          </w:p>
        </w:tc>
        <w:tc>
          <w:tcPr>
            <w:tcW w:w="1044" w:type="dxa"/>
            <w:tcBorders>
              <w:bottom w:val="single" w:sz="16" w:space="0" w:color="666666"/>
            </w:tcBorders>
            <w:shd w:val="clear" w:color="auto" w:fill="FFFFFF"/>
            <w:tcMar>
              <w:top w:w="0" w:type="dxa"/>
              <w:left w:w="0" w:type="dxa"/>
              <w:bottom w:w="0" w:type="dxa"/>
              <w:right w:w="0" w:type="dxa"/>
            </w:tcMar>
            <w:vAlign w:val="center"/>
          </w:tcPr>
          <w:p w14:paraId="6D3DB38C" w14:textId="77777777" w:rsidR="007B7F27" w:rsidRPr="007B7F27" w:rsidRDefault="007B7F27" w:rsidP="00B119BC">
            <w:pPr>
              <w:spacing w:before="240" w:after="0" w:line="340" w:lineRule="auto"/>
              <w:jc w:val="center"/>
              <w:rPr>
                <w:sz w:val="20"/>
                <w:szCs w:val="20"/>
                <w:lang w:val="en-US"/>
              </w:rPr>
            </w:pPr>
            <w:r w:rsidRPr="007B7F27">
              <w:rPr>
                <w:sz w:val="20"/>
                <w:szCs w:val="20"/>
                <w:lang w:val="en-US"/>
              </w:rPr>
              <w:t>0</w:t>
            </w:r>
          </w:p>
        </w:tc>
        <w:tc>
          <w:tcPr>
            <w:tcW w:w="1080" w:type="dxa"/>
            <w:tcBorders>
              <w:bottom w:val="single" w:sz="16" w:space="0" w:color="666666"/>
            </w:tcBorders>
            <w:shd w:val="clear" w:color="auto" w:fill="FFFFFF"/>
            <w:tcMar>
              <w:top w:w="0" w:type="dxa"/>
              <w:left w:w="0" w:type="dxa"/>
              <w:bottom w:w="0" w:type="dxa"/>
              <w:right w:w="0" w:type="dxa"/>
            </w:tcMar>
            <w:vAlign w:val="center"/>
          </w:tcPr>
          <w:p w14:paraId="731DE104" w14:textId="77777777" w:rsidR="007B7F27" w:rsidRPr="007B7F27" w:rsidRDefault="007B7F27" w:rsidP="00B119BC">
            <w:pPr>
              <w:spacing w:before="240" w:after="0" w:line="340" w:lineRule="auto"/>
              <w:jc w:val="center"/>
              <w:rPr>
                <w:sz w:val="20"/>
                <w:szCs w:val="20"/>
                <w:lang w:val="en-US"/>
              </w:rPr>
            </w:pPr>
            <w:r w:rsidRPr="007B7F27">
              <w:rPr>
                <w:sz w:val="20"/>
                <w:szCs w:val="20"/>
                <w:lang w:val="en-US"/>
              </w:rPr>
              <w:t>0.3</w:t>
            </w:r>
          </w:p>
        </w:tc>
        <w:tc>
          <w:tcPr>
            <w:tcW w:w="637" w:type="dxa"/>
            <w:tcBorders>
              <w:bottom w:val="single" w:sz="16" w:space="0" w:color="666666"/>
            </w:tcBorders>
            <w:shd w:val="clear" w:color="auto" w:fill="FFFFFF"/>
            <w:tcMar>
              <w:top w:w="0" w:type="dxa"/>
              <w:left w:w="0" w:type="dxa"/>
              <w:bottom w:w="0" w:type="dxa"/>
              <w:right w:w="0" w:type="dxa"/>
            </w:tcMar>
            <w:vAlign w:val="center"/>
          </w:tcPr>
          <w:p w14:paraId="5C4E4AAA" w14:textId="77777777" w:rsidR="007B7F27" w:rsidRPr="007B7F27" w:rsidRDefault="007B7F27" w:rsidP="00B119BC">
            <w:pPr>
              <w:spacing w:before="240" w:after="0" w:line="340" w:lineRule="auto"/>
              <w:jc w:val="center"/>
              <w:rPr>
                <w:sz w:val="20"/>
                <w:szCs w:val="20"/>
                <w:lang w:val="en-US"/>
              </w:rPr>
            </w:pPr>
            <w:r w:rsidRPr="007B7F27">
              <w:rPr>
                <w:sz w:val="20"/>
                <w:szCs w:val="20"/>
                <w:lang w:val="en-US"/>
              </w:rPr>
              <w:t>0.6</w:t>
            </w:r>
          </w:p>
        </w:tc>
        <w:tc>
          <w:tcPr>
            <w:tcW w:w="666" w:type="dxa"/>
            <w:tcBorders>
              <w:bottom w:val="single" w:sz="16" w:space="0" w:color="666666"/>
            </w:tcBorders>
            <w:shd w:val="clear" w:color="auto" w:fill="FFFFFF"/>
            <w:tcMar>
              <w:top w:w="0" w:type="dxa"/>
              <w:left w:w="0" w:type="dxa"/>
              <w:bottom w:w="0" w:type="dxa"/>
              <w:right w:w="0" w:type="dxa"/>
            </w:tcMar>
            <w:vAlign w:val="center"/>
          </w:tcPr>
          <w:p w14:paraId="42935178" w14:textId="77777777" w:rsidR="007B7F27" w:rsidRPr="007B7F27" w:rsidRDefault="007B7F27" w:rsidP="00B119BC">
            <w:pPr>
              <w:spacing w:before="240" w:after="0" w:line="340" w:lineRule="auto"/>
              <w:jc w:val="center"/>
              <w:rPr>
                <w:sz w:val="20"/>
                <w:szCs w:val="20"/>
                <w:lang w:val="en-US"/>
              </w:rPr>
            </w:pPr>
            <w:r w:rsidRPr="007B7F27">
              <w:rPr>
                <w:sz w:val="20"/>
                <w:szCs w:val="20"/>
                <w:lang w:val="en-US"/>
              </w:rPr>
              <w:t>0.0</w:t>
            </w:r>
          </w:p>
        </w:tc>
        <w:tc>
          <w:tcPr>
            <w:tcW w:w="1012" w:type="dxa"/>
            <w:tcBorders>
              <w:bottom w:val="single" w:sz="16" w:space="0" w:color="666666"/>
            </w:tcBorders>
            <w:shd w:val="clear" w:color="auto" w:fill="FFFFFF"/>
            <w:tcMar>
              <w:top w:w="0" w:type="dxa"/>
              <w:left w:w="0" w:type="dxa"/>
              <w:bottom w:w="0" w:type="dxa"/>
              <w:right w:w="0" w:type="dxa"/>
            </w:tcMar>
            <w:vAlign w:val="center"/>
          </w:tcPr>
          <w:p w14:paraId="28A95025" w14:textId="77777777" w:rsidR="007B7F27" w:rsidRPr="007B7F27" w:rsidRDefault="007B7F27" w:rsidP="00B119BC">
            <w:pPr>
              <w:spacing w:before="240" w:after="0" w:line="340" w:lineRule="auto"/>
              <w:jc w:val="center"/>
              <w:rPr>
                <w:sz w:val="20"/>
                <w:szCs w:val="20"/>
                <w:lang w:val="en-US"/>
              </w:rPr>
            </w:pPr>
            <w:r w:rsidRPr="007B7F27">
              <w:rPr>
                <w:sz w:val="20"/>
                <w:szCs w:val="20"/>
                <w:lang w:val="en-US"/>
              </w:rPr>
              <w:t>0.0</w:t>
            </w:r>
          </w:p>
        </w:tc>
        <w:tc>
          <w:tcPr>
            <w:tcW w:w="1080" w:type="dxa"/>
            <w:tcBorders>
              <w:bottom w:val="single" w:sz="16" w:space="0" w:color="666666"/>
            </w:tcBorders>
            <w:shd w:val="clear" w:color="auto" w:fill="FFFFFF"/>
            <w:tcMar>
              <w:top w:w="0" w:type="dxa"/>
              <w:left w:w="0" w:type="dxa"/>
              <w:bottom w:w="0" w:type="dxa"/>
              <w:right w:w="0" w:type="dxa"/>
            </w:tcMar>
            <w:vAlign w:val="center"/>
          </w:tcPr>
          <w:p w14:paraId="02747655" w14:textId="77777777" w:rsidR="007B7F27" w:rsidRPr="007B7F27" w:rsidRDefault="007B7F27" w:rsidP="00B119BC">
            <w:pPr>
              <w:spacing w:before="240" w:after="0" w:line="340" w:lineRule="auto"/>
              <w:jc w:val="center"/>
              <w:rPr>
                <w:sz w:val="20"/>
                <w:szCs w:val="20"/>
                <w:lang w:val="en-US"/>
              </w:rPr>
            </w:pPr>
            <w:r w:rsidRPr="007B7F27">
              <w:rPr>
                <w:sz w:val="20"/>
                <w:szCs w:val="20"/>
                <w:lang w:val="en-US"/>
              </w:rPr>
              <w:t>4.0</w:t>
            </w:r>
          </w:p>
        </w:tc>
      </w:tr>
    </w:tbl>
    <w:p w14:paraId="6E838839" w14:textId="6D1D2FF3" w:rsidR="006F0709" w:rsidRDefault="006F0709" w:rsidP="001C1263">
      <w:pPr>
        <w:spacing w:after="492" w:line="340" w:lineRule="auto"/>
        <w:jc w:val="both"/>
        <w:rPr>
          <w:lang w:val="es"/>
        </w:rPr>
      </w:pPr>
    </w:p>
    <w:p w14:paraId="13C576F7" w14:textId="09CC6EEB" w:rsidR="007B7F27" w:rsidRDefault="00074FEC" w:rsidP="00074FEC">
      <w:pPr>
        <w:pStyle w:val="Ttulo3"/>
        <w:rPr>
          <w:lang w:val="es"/>
        </w:rPr>
      </w:pPr>
      <w:r>
        <w:rPr>
          <w:lang w:val="es"/>
        </w:rPr>
        <w:t xml:space="preserve">3.3 Variables de control: </w:t>
      </w:r>
      <w:r w:rsidR="005D7F7E">
        <w:rPr>
          <w:lang w:val="es"/>
        </w:rPr>
        <w:t>Indicadores de m</w:t>
      </w:r>
      <w:r>
        <w:rPr>
          <w:lang w:val="es"/>
        </w:rPr>
        <w:t>odelo estándar de la represión</w:t>
      </w:r>
    </w:p>
    <w:p w14:paraId="4C48D45E" w14:textId="77777777" w:rsidR="005C1515" w:rsidRDefault="00074FEC" w:rsidP="00074FEC">
      <w:pPr>
        <w:spacing w:after="492" w:line="340" w:lineRule="auto"/>
        <w:jc w:val="both"/>
      </w:pPr>
      <w:r w:rsidRPr="00074FEC">
        <w:t xml:space="preserve">Cómo variables de control se incorporaron diferentes tipos de indicadores. En primer lugar, se incorporaron indicadores de la base de datos del Banco Mundial relacionados con la estructura de la población, e indicadores sobre la existencia de conflictos violentos del conjunto de datos de conflictos armados UCDP/PRIO de la Universidad de Uppsala. En cuanto a la estructura de la población, el logaritmo natural del Producto Interno Bruto (PIB) per cápita (en dólares estadounidenses constantes) controla el nivel de riqueza nacional de un país, porque a menudo se encuentra que la democracia y la protección de los derechos humanos están fuertemente correlacionadas con la capacidad económica de las naciones </w:t>
      </w:r>
      <w:r w:rsidRPr="00074FEC">
        <w:fldChar w:fldCharType="begin" w:fldLock="1"/>
      </w:r>
      <w:r w:rsidRPr="00074FEC">
        <w:instrText>ADDIN CSL_CITATION {"citationItems":[{"id":"ITEM-1","itemData":{"DOI":"10.9783/9780812207033/HTML","author":[{"dropping-particle":"","family":"Keith","given":"Linda Camp","non-dropping-particle":"","parse-names":false,"suffix":""}],"container-title":"Political Repression","id":"ITEM-1","issued":{"date-parts":[["2012","12","31"]]},"publisher":"University of Pennsylvania Press","title":"Political Repression","type":"book"},"uris":["http://www.mendeley.com/documents/?uuid=5cd9a6b7-5c71-36e3-8ef7-74b8cb2091f5"]}],"mendeley":{"formattedCitation":"(Keith, 2012)","plainTextFormattedCitation":"(Keith, 2012)","previouslyFormattedCitation":"(Keith, 2012)"},"properties":{"noteIndex":0},"schema":"https://github.com/citation-style-language/schema/raw/master/csl-citation.json"}</w:instrText>
      </w:r>
      <w:r w:rsidRPr="00074FEC">
        <w:fldChar w:fldCharType="separate"/>
      </w:r>
      <w:r w:rsidRPr="00074FEC">
        <w:t>(Keith, 2012)</w:t>
      </w:r>
      <w:r w:rsidRPr="00074FEC">
        <w:fldChar w:fldCharType="end"/>
      </w:r>
      <w:r w:rsidRPr="00074FEC">
        <w:t xml:space="preserve">. El control por tamaño de la población da cuenta de los posibles desafíos que plantean los países más grandes a la gobernabilidad democrática y la mayor oportunidad que tienen los estados de violar los derechos humanos en localidades densamente pobladas </w:t>
      </w:r>
      <w:r w:rsidRPr="00074FEC">
        <w:fldChar w:fldCharType="begin" w:fldLock="1"/>
      </w:r>
      <w:r w:rsidRPr="00074FEC">
        <w:instrText>ADDIN CSL_CITATION {"citationItems":[{"id":"ITEM-1","itemData":{"DOI":"10.1111/j.0092-5853.2004.00086.x","ISSN":"0092-5853","abstract":"La mayoría de los estudios postulan e identi?can una relación lineal y negativa entre la democracia y la violación de los derechos humanos. Algunas investigaciones cuestionan este hallazgo, sin embargo, sugiriendo que existen in?uencias no lineales. En este artículo, examinamos la estructura de la relación entre democracia y represión durante el período de 1976 a 1996. Para realizar nuestro análisis, utilizamos diversos enfoques estadísticos que son particularmente ?exibles en la identi?cación de in?uencias que toman una variedad de formas funcionales (especí?camente LOESS y descomposición binaria). A través de medidas y técnicas metodológicas, encontramos que por debajo de cierto nivel, la democracia no tiene impacto en las violaciones de derechos humanos, pero por encima de este nivel, la democracia in?uye en la represión de manera negativa y aproximadamente lineal","author":[{"dropping-particle":"","family":"Davenport","given":"Christian","non-dropping-particle":"","parse-names":false,"suffix":""},{"dropping-particle":"","family":"Armstrong","given":"David A.","non-dropping-particle":"","parse-names":false,"suffix":""}],"container-title":"American Journal of Political Science","id":"ITEM-1","issue":"3","issued":{"date-parts":[["2004","7"]]},"page":"538-554","title":"Democracy and the Violation of Human Rights: A Statistical Analysis from 1976 to 1996","type":"article-journal","volume":"48"},"uris":["http://www.mendeley.com/documents/?uuid=c97a3374-839b-4ede-9639-5eada530ea13"]}],"mendeley":{"formattedCitation":"(Davenport &amp; Armstrong, 2004)","plainTextFormattedCitation":"(Davenport &amp; Armstrong, 2004)","previouslyFormattedCitation":"(Davenport &amp; Armstrong, 2004)"},"properties":{"noteIndex":0},"schema":"https://github.com/citation-style-language/schema/raw/master/csl-citation.json"}</w:instrText>
      </w:r>
      <w:r w:rsidRPr="00074FEC">
        <w:fldChar w:fldCharType="separate"/>
      </w:r>
      <w:r w:rsidRPr="00074FEC">
        <w:t>(Davenport &amp; Armstrong, 2004)</w:t>
      </w:r>
      <w:r w:rsidRPr="00074FEC">
        <w:fldChar w:fldCharType="end"/>
      </w:r>
      <w:r w:rsidRPr="00074FEC">
        <w:t xml:space="preserve">. </w:t>
      </w:r>
    </w:p>
    <w:p w14:paraId="4DD929EC" w14:textId="56DFD4F7" w:rsidR="00074FEC" w:rsidRDefault="00074FEC" w:rsidP="00074FEC">
      <w:pPr>
        <w:spacing w:after="492" w:line="340" w:lineRule="auto"/>
        <w:jc w:val="both"/>
      </w:pPr>
      <w:r w:rsidRPr="00074FEC">
        <w:t xml:space="preserve">Por su parte, el indicador que da cuenta de la existencia de conflictos armados internos, controla las amenazas a la seguridad nacional que pueden socavar tanto las instituciones democráticas como la protección de los derechos humanos. Esta variable distingue entre el conflicto de nivel inferior, con al menos 25 muertes relacionadas con batallas, y la guerra, que tiene al menos 1000 muertes relacionadas con batallas por cada año </w:t>
      </w:r>
      <w:r w:rsidRPr="00074FEC">
        <w:fldChar w:fldCharType="begin" w:fldLock="1"/>
      </w:r>
      <w:r w:rsidRPr="00074FEC">
        <w:instrText>ADDIN CSL_CITATION {"citationItems":[{"id":"ITEM-1","itemData":{"DOI":"10.1177/0022343320934986","ISSN":"14603578","abstract":"This article reports on trends in organized violence, building on new data by the Uppsala Conflict Data Program (UCDP). The defeat of Islamic State (IS) in Syria and Iraq has pushed the number of fatalities, almost 75,600, to its lowest level since the outbreak of the Syrian civil war in 2011. However, this de-escalation in Syria is countered by increased violence in Africa, as IS and other transnational jihadist groups have relocated their efforts there. Furthermore, violence has continued to increase in Afghanistan; UCDP recorded more than 31,200 fatalities in Afghanistan in 2019, which accounts for 40% of all fatalities from organized violence across the globe. The general decline in fatalities from organized violence does not correspond with the trend in the number of active conflicts, which remained on a historically high level. UCDP recorded 54 state-based conflicts in 2019, including seven wars. Twenty-eight state-based conflicts involved IS (Islamic State), al-Qaida or their affiliates. In the past decade, conflicts involving these transnational jihadist groups have driven many of the trends in organized violence.","author":[{"dropping-particle":"","family":"Pettersson","given":"Therése","non-dropping-particle":"","parse-names":false,"suffix":""},{"dropping-particle":"","family":"Öberg","given":"Magnus","non-dropping-particle":"","parse-names":false,"suffix":""}],"container-title":"Journal of Peace Research","id":"ITEM-1","issue":"4","issued":{"date-parts":[["2020","6","16"]]},"page":"597-613","publisher":"SAGE PublicationsSage UK: London, England","title":"Organized violence, 1989–2019","type":"article-journal","volume":"57"},"uris":["http://www.mendeley.com/documents/?uuid=0e121bdf-b8fa-39d1-b1a9-63c8c55b58b3"]}],"mendeley":{"formattedCitation":"(Pettersson &amp; Öberg, 2020)","plainTextFormattedCitation":"(Pettersson &amp; Öberg, 2020)","previouslyFormattedCitation":"(Pettersson &amp; Öberg, 2020)"},"properties":{"noteIndex":0},"schema":"https://github.com/citation-style-language/schema/raw/master/csl-citation.json"}</w:instrText>
      </w:r>
      <w:r w:rsidRPr="00074FEC">
        <w:fldChar w:fldCharType="separate"/>
      </w:r>
      <w:r w:rsidRPr="00074FEC">
        <w:t>(</w:t>
      </w:r>
      <w:proofErr w:type="spellStart"/>
      <w:r w:rsidRPr="00074FEC">
        <w:t>Pettersson</w:t>
      </w:r>
      <w:proofErr w:type="spellEnd"/>
      <w:r w:rsidRPr="00074FEC">
        <w:t xml:space="preserve"> &amp; </w:t>
      </w:r>
      <w:proofErr w:type="spellStart"/>
      <w:r w:rsidRPr="00074FEC">
        <w:t>Öberg</w:t>
      </w:r>
      <w:proofErr w:type="spellEnd"/>
      <w:r w:rsidRPr="00074FEC">
        <w:t>, 2020)</w:t>
      </w:r>
      <w:r w:rsidRPr="00074FEC">
        <w:fldChar w:fldCharType="end"/>
      </w:r>
      <w:r w:rsidRPr="00074FEC">
        <w:t>.</w:t>
      </w:r>
      <w:r>
        <w:t xml:space="preserve"> </w:t>
      </w:r>
      <w:r w:rsidRPr="00074FEC">
        <w:t>En segundo lugar, se incorporaron variables de control vinculadas a los niveles de democracia.</w:t>
      </w:r>
      <w:r>
        <w:t xml:space="preserve"> En particular, se incorporó e</w:t>
      </w:r>
      <w:r w:rsidRPr="00074FEC">
        <w:t xml:space="preserve">l indicador Polity II </w:t>
      </w:r>
      <w:r>
        <w:t xml:space="preserve">que </w:t>
      </w:r>
      <w:r w:rsidRPr="00074FEC">
        <w:t>controla los niveles de democracia de los países en transición. Polity II codifica rangos institucionales del ejercicio de la autoridad, incluidos los procedimientos a través de los cuales los ciudadanos eligen a sus líderes y aquellas instituciones que restringen el poder ejecutivo.</w:t>
      </w:r>
    </w:p>
    <w:p w14:paraId="63F9FE0A" w14:textId="5177639E" w:rsidR="002C25F1" w:rsidRDefault="002C25F1" w:rsidP="00074FEC">
      <w:pPr>
        <w:spacing w:after="492" w:line="340" w:lineRule="auto"/>
        <w:jc w:val="both"/>
      </w:pPr>
      <w:r>
        <w:t>La tabla 2, resume las estadísticas descriptivas de las variables de control utilizadas en el análisis multivariado de la protección de los derechos humanos.</w:t>
      </w:r>
    </w:p>
    <w:p w14:paraId="1A14243E" w14:textId="5E9FB4A5" w:rsidR="00B119BC" w:rsidRPr="00074FEC" w:rsidRDefault="00B119BC" w:rsidP="002C25F1">
      <w:pPr>
        <w:spacing w:after="492" w:line="340" w:lineRule="auto"/>
        <w:jc w:val="center"/>
      </w:pPr>
      <w:r w:rsidRPr="002C25F1">
        <w:rPr>
          <w:b/>
          <w:bCs/>
        </w:rPr>
        <w:lastRenderedPageBreak/>
        <w:t>Tabla 2</w:t>
      </w:r>
      <w:r w:rsidR="002C25F1">
        <w:rPr>
          <w:b/>
          <w:bCs/>
        </w:rPr>
        <w:t>:</w:t>
      </w:r>
      <w:r>
        <w:t xml:space="preserve"> Estadísticas descriptivas de las variables de control</w:t>
      </w:r>
    </w:p>
    <w:tbl>
      <w:tblPr>
        <w:tblW w:w="8493" w:type="dxa"/>
        <w:jc w:val="center"/>
        <w:tblLayout w:type="fixed"/>
        <w:tblLook w:val="0420" w:firstRow="1" w:lastRow="0" w:firstColumn="0" w:lastColumn="0" w:noHBand="0" w:noVBand="1"/>
      </w:tblPr>
      <w:tblGrid>
        <w:gridCol w:w="2410"/>
        <w:gridCol w:w="851"/>
        <w:gridCol w:w="1134"/>
        <w:gridCol w:w="692"/>
        <w:gridCol w:w="637"/>
        <w:gridCol w:w="677"/>
        <w:gridCol w:w="1012"/>
        <w:gridCol w:w="1080"/>
      </w:tblGrid>
      <w:tr w:rsidR="00B119BC" w:rsidRPr="00B119BC" w14:paraId="1E14358C" w14:textId="77777777" w:rsidTr="00B119BC">
        <w:trPr>
          <w:cantSplit/>
          <w:tblHeader/>
          <w:jc w:val="center"/>
        </w:trPr>
        <w:tc>
          <w:tcPr>
            <w:tcW w:w="241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50BDFE6" w14:textId="77777777" w:rsidR="00B119BC" w:rsidRPr="00B119BC" w:rsidRDefault="00B119BC" w:rsidP="00B119BC">
            <w:pPr>
              <w:spacing w:before="240" w:after="0" w:line="340" w:lineRule="auto"/>
              <w:rPr>
                <w:sz w:val="20"/>
                <w:szCs w:val="20"/>
              </w:rPr>
            </w:pPr>
          </w:p>
        </w:tc>
        <w:tc>
          <w:tcPr>
            <w:tcW w:w="85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3995285" w14:textId="646B76FE" w:rsidR="00B119BC" w:rsidRPr="00B119BC" w:rsidRDefault="00B119BC" w:rsidP="00B119BC">
            <w:pPr>
              <w:spacing w:before="240" w:after="0" w:line="340" w:lineRule="auto"/>
              <w:jc w:val="center"/>
              <w:rPr>
                <w:sz w:val="20"/>
                <w:szCs w:val="20"/>
              </w:rPr>
            </w:pPr>
            <w:r w:rsidRPr="00B119BC">
              <w:rPr>
                <w:sz w:val="20"/>
                <w:szCs w:val="20"/>
              </w:rPr>
              <w:t>Valores distintos</w:t>
            </w:r>
          </w:p>
        </w:tc>
        <w:tc>
          <w:tcPr>
            <w:tcW w:w="113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BFF9B98" w14:textId="0DD4D7E3" w:rsidR="00B119BC" w:rsidRPr="00B119BC" w:rsidRDefault="00B119BC" w:rsidP="00B119BC">
            <w:pPr>
              <w:spacing w:before="240" w:after="0" w:line="340" w:lineRule="auto"/>
              <w:jc w:val="center"/>
              <w:rPr>
                <w:sz w:val="20"/>
                <w:szCs w:val="20"/>
              </w:rPr>
            </w:pPr>
            <w:r w:rsidRPr="00B119BC">
              <w:rPr>
                <w:sz w:val="20"/>
                <w:szCs w:val="20"/>
              </w:rPr>
              <w:t xml:space="preserve">Casos perdidos </w:t>
            </w:r>
            <w:r w:rsidRPr="007B7F27">
              <w:rPr>
                <w:sz w:val="20"/>
                <w:szCs w:val="20"/>
              </w:rPr>
              <w:t>(%)</w:t>
            </w:r>
          </w:p>
        </w:tc>
        <w:tc>
          <w:tcPr>
            <w:tcW w:w="69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0109E8" w14:textId="527BB59A" w:rsidR="00B119BC" w:rsidRPr="00B119BC" w:rsidRDefault="00B119BC" w:rsidP="00B119BC">
            <w:pPr>
              <w:spacing w:before="240" w:after="0" w:line="340" w:lineRule="auto"/>
              <w:jc w:val="center"/>
              <w:rPr>
                <w:sz w:val="20"/>
                <w:szCs w:val="20"/>
              </w:rPr>
            </w:pPr>
            <w:r w:rsidRPr="007B7F27">
              <w:rPr>
                <w:sz w:val="20"/>
                <w:szCs w:val="20"/>
              </w:rPr>
              <w:t>Me</w:t>
            </w:r>
            <w:r w:rsidRPr="00B119BC">
              <w:rPr>
                <w:sz w:val="20"/>
                <w:szCs w:val="20"/>
              </w:rPr>
              <w:t>dia</w:t>
            </w:r>
          </w:p>
        </w:tc>
        <w:tc>
          <w:tcPr>
            <w:tcW w:w="63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AE5F480" w14:textId="6F0B67FB" w:rsidR="00B119BC" w:rsidRPr="00B119BC" w:rsidRDefault="00B119BC" w:rsidP="00B119BC">
            <w:pPr>
              <w:spacing w:before="240" w:after="0" w:line="340" w:lineRule="auto"/>
              <w:jc w:val="center"/>
              <w:rPr>
                <w:sz w:val="20"/>
                <w:szCs w:val="20"/>
              </w:rPr>
            </w:pPr>
            <w:r w:rsidRPr="00B119BC">
              <w:rPr>
                <w:sz w:val="20"/>
                <w:szCs w:val="20"/>
              </w:rPr>
              <w:t>DE</w:t>
            </w:r>
          </w:p>
        </w:tc>
        <w:tc>
          <w:tcPr>
            <w:tcW w:w="67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2E1CFEF" w14:textId="74278B92" w:rsidR="00B119BC" w:rsidRPr="00B119BC" w:rsidRDefault="00B119BC" w:rsidP="00B119BC">
            <w:pPr>
              <w:spacing w:before="240" w:after="0" w:line="340" w:lineRule="auto"/>
              <w:jc w:val="center"/>
              <w:rPr>
                <w:sz w:val="20"/>
                <w:szCs w:val="20"/>
              </w:rPr>
            </w:pPr>
            <w:r w:rsidRPr="007B7F27">
              <w:rPr>
                <w:sz w:val="20"/>
                <w:szCs w:val="20"/>
              </w:rPr>
              <w:t>Min</w:t>
            </w:r>
          </w:p>
        </w:tc>
        <w:tc>
          <w:tcPr>
            <w:tcW w:w="101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BF2B9FE" w14:textId="3C492E10" w:rsidR="00B119BC" w:rsidRPr="00B119BC" w:rsidRDefault="00B119BC" w:rsidP="00B119BC">
            <w:pPr>
              <w:spacing w:before="240" w:after="0" w:line="340" w:lineRule="auto"/>
              <w:jc w:val="center"/>
              <w:rPr>
                <w:sz w:val="20"/>
                <w:szCs w:val="20"/>
              </w:rPr>
            </w:pPr>
            <w:r w:rsidRPr="007B7F27">
              <w:rPr>
                <w:sz w:val="20"/>
                <w:szCs w:val="20"/>
              </w:rPr>
              <w:t>Median</w:t>
            </w:r>
            <w:r w:rsidRPr="00B119BC">
              <w:rPr>
                <w:sz w:val="20"/>
                <w:szCs w:val="20"/>
              </w:rPr>
              <w:t>a</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9D651FE" w14:textId="61D974D0" w:rsidR="00B119BC" w:rsidRPr="00B119BC" w:rsidRDefault="00B119BC" w:rsidP="00B119BC">
            <w:pPr>
              <w:spacing w:before="240" w:after="0" w:line="340" w:lineRule="auto"/>
              <w:jc w:val="center"/>
              <w:rPr>
                <w:sz w:val="20"/>
                <w:szCs w:val="20"/>
              </w:rPr>
            </w:pPr>
            <w:r w:rsidRPr="007B7F27">
              <w:rPr>
                <w:sz w:val="20"/>
                <w:szCs w:val="20"/>
              </w:rPr>
              <w:t>Max</w:t>
            </w:r>
          </w:p>
        </w:tc>
      </w:tr>
      <w:tr w:rsidR="00B119BC" w:rsidRPr="00B119BC" w14:paraId="40B7E155" w14:textId="77777777" w:rsidTr="00B119BC">
        <w:trPr>
          <w:cantSplit/>
          <w:jc w:val="center"/>
        </w:trPr>
        <w:tc>
          <w:tcPr>
            <w:tcW w:w="2410" w:type="dxa"/>
            <w:shd w:val="clear" w:color="auto" w:fill="FFFFFF"/>
            <w:tcMar>
              <w:top w:w="0" w:type="dxa"/>
              <w:left w:w="0" w:type="dxa"/>
              <w:bottom w:w="0" w:type="dxa"/>
              <w:right w:w="0" w:type="dxa"/>
            </w:tcMar>
            <w:vAlign w:val="center"/>
          </w:tcPr>
          <w:p w14:paraId="0856FF26" w14:textId="77777777" w:rsidR="00B119BC" w:rsidRPr="00B119BC" w:rsidRDefault="00B119BC" w:rsidP="00B119BC">
            <w:pPr>
              <w:spacing w:before="240" w:after="0" w:line="340" w:lineRule="auto"/>
              <w:rPr>
                <w:sz w:val="20"/>
                <w:szCs w:val="20"/>
              </w:rPr>
            </w:pPr>
            <w:r w:rsidRPr="00B119BC">
              <w:rPr>
                <w:sz w:val="20"/>
                <w:szCs w:val="20"/>
              </w:rPr>
              <w:t>PIB (log)</w:t>
            </w:r>
          </w:p>
        </w:tc>
        <w:tc>
          <w:tcPr>
            <w:tcW w:w="851" w:type="dxa"/>
            <w:shd w:val="clear" w:color="auto" w:fill="FFFFFF"/>
            <w:tcMar>
              <w:top w:w="0" w:type="dxa"/>
              <w:left w:w="0" w:type="dxa"/>
              <w:bottom w:w="0" w:type="dxa"/>
              <w:right w:w="0" w:type="dxa"/>
            </w:tcMar>
            <w:vAlign w:val="center"/>
          </w:tcPr>
          <w:p w14:paraId="0C870CA1" w14:textId="77777777" w:rsidR="00B119BC" w:rsidRPr="00B119BC" w:rsidRDefault="00B119BC" w:rsidP="00B119BC">
            <w:pPr>
              <w:spacing w:before="240" w:after="0" w:line="340" w:lineRule="auto"/>
              <w:jc w:val="center"/>
              <w:rPr>
                <w:sz w:val="20"/>
                <w:szCs w:val="20"/>
              </w:rPr>
            </w:pPr>
            <w:r w:rsidRPr="00B119BC">
              <w:rPr>
                <w:sz w:val="20"/>
                <w:szCs w:val="20"/>
              </w:rPr>
              <w:t>1771</w:t>
            </w:r>
          </w:p>
        </w:tc>
        <w:tc>
          <w:tcPr>
            <w:tcW w:w="1134" w:type="dxa"/>
            <w:shd w:val="clear" w:color="auto" w:fill="FFFFFF"/>
            <w:tcMar>
              <w:top w:w="0" w:type="dxa"/>
              <w:left w:w="0" w:type="dxa"/>
              <w:bottom w:w="0" w:type="dxa"/>
              <w:right w:w="0" w:type="dxa"/>
            </w:tcMar>
            <w:vAlign w:val="center"/>
          </w:tcPr>
          <w:p w14:paraId="33FC3C54" w14:textId="77777777" w:rsidR="00B119BC" w:rsidRPr="00B119BC" w:rsidRDefault="00B119BC" w:rsidP="00B119BC">
            <w:pPr>
              <w:spacing w:before="240" w:after="0" w:line="340" w:lineRule="auto"/>
              <w:jc w:val="center"/>
              <w:rPr>
                <w:sz w:val="20"/>
                <w:szCs w:val="20"/>
              </w:rPr>
            </w:pPr>
            <w:r w:rsidRPr="00B119BC">
              <w:rPr>
                <w:sz w:val="20"/>
                <w:szCs w:val="20"/>
              </w:rPr>
              <w:t>3</w:t>
            </w:r>
          </w:p>
        </w:tc>
        <w:tc>
          <w:tcPr>
            <w:tcW w:w="692" w:type="dxa"/>
            <w:shd w:val="clear" w:color="auto" w:fill="FFFFFF"/>
            <w:tcMar>
              <w:top w:w="0" w:type="dxa"/>
              <w:left w:w="0" w:type="dxa"/>
              <w:bottom w:w="0" w:type="dxa"/>
              <w:right w:w="0" w:type="dxa"/>
            </w:tcMar>
            <w:vAlign w:val="center"/>
          </w:tcPr>
          <w:p w14:paraId="6EA33310" w14:textId="77777777" w:rsidR="00B119BC" w:rsidRPr="00B119BC" w:rsidRDefault="00B119BC" w:rsidP="00B119BC">
            <w:pPr>
              <w:spacing w:before="240" w:after="0" w:line="340" w:lineRule="auto"/>
              <w:jc w:val="center"/>
              <w:rPr>
                <w:sz w:val="20"/>
                <w:szCs w:val="20"/>
              </w:rPr>
            </w:pPr>
            <w:r w:rsidRPr="00B119BC">
              <w:rPr>
                <w:sz w:val="20"/>
                <w:szCs w:val="20"/>
              </w:rPr>
              <w:t>7.1</w:t>
            </w:r>
          </w:p>
        </w:tc>
        <w:tc>
          <w:tcPr>
            <w:tcW w:w="637" w:type="dxa"/>
            <w:shd w:val="clear" w:color="auto" w:fill="FFFFFF"/>
            <w:tcMar>
              <w:top w:w="0" w:type="dxa"/>
              <w:left w:w="0" w:type="dxa"/>
              <w:bottom w:w="0" w:type="dxa"/>
              <w:right w:w="0" w:type="dxa"/>
            </w:tcMar>
            <w:vAlign w:val="center"/>
          </w:tcPr>
          <w:p w14:paraId="05EAD0C5" w14:textId="77777777" w:rsidR="00B119BC" w:rsidRPr="00B119BC" w:rsidRDefault="00B119BC" w:rsidP="00B119BC">
            <w:pPr>
              <w:spacing w:before="240" w:after="0" w:line="340" w:lineRule="auto"/>
              <w:jc w:val="center"/>
              <w:rPr>
                <w:sz w:val="20"/>
                <w:szCs w:val="20"/>
              </w:rPr>
            </w:pPr>
            <w:r w:rsidRPr="00B119BC">
              <w:rPr>
                <w:sz w:val="20"/>
                <w:szCs w:val="20"/>
              </w:rPr>
              <w:t>1.3</w:t>
            </w:r>
          </w:p>
        </w:tc>
        <w:tc>
          <w:tcPr>
            <w:tcW w:w="677" w:type="dxa"/>
            <w:shd w:val="clear" w:color="auto" w:fill="FFFFFF"/>
            <w:tcMar>
              <w:top w:w="0" w:type="dxa"/>
              <w:left w:w="0" w:type="dxa"/>
              <w:bottom w:w="0" w:type="dxa"/>
              <w:right w:w="0" w:type="dxa"/>
            </w:tcMar>
            <w:vAlign w:val="center"/>
          </w:tcPr>
          <w:p w14:paraId="1C57D508" w14:textId="77777777" w:rsidR="00B119BC" w:rsidRPr="00B119BC" w:rsidRDefault="00B119BC" w:rsidP="00B119BC">
            <w:pPr>
              <w:spacing w:before="240" w:after="0" w:line="340" w:lineRule="auto"/>
              <w:jc w:val="center"/>
              <w:rPr>
                <w:sz w:val="20"/>
                <w:szCs w:val="20"/>
              </w:rPr>
            </w:pPr>
            <w:r w:rsidRPr="00B119BC">
              <w:rPr>
                <w:sz w:val="20"/>
                <w:szCs w:val="20"/>
              </w:rPr>
              <w:t>4.5</w:t>
            </w:r>
          </w:p>
        </w:tc>
        <w:tc>
          <w:tcPr>
            <w:tcW w:w="1012" w:type="dxa"/>
            <w:shd w:val="clear" w:color="auto" w:fill="FFFFFF"/>
            <w:tcMar>
              <w:top w:w="0" w:type="dxa"/>
              <w:left w:w="0" w:type="dxa"/>
              <w:bottom w:w="0" w:type="dxa"/>
              <w:right w:w="0" w:type="dxa"/>
            </w:tcMar>
            <w:vAlign w:val="center"/>
          </w:tcPr>
          <w:p w14:paraId="709467F9" w14:textId="77777777" w:rsidR="00B119BC" w:rsidRPr="00B119BC" w:rsidRDefault="00B119BC" w:rsidP="00B119BC">
            <w:pPr>
              <w:spacing w:before="240" w:after="0" w:line="340" w:lineRule="auto"/>
              <w:jc w:val="center"/>
              <w:rPr>
                <w:sz w:val="20"/>
                <w:szCs w:val="20"/>
              </w:rPr>
            </w:pPr>
            <w:r w:rsidRPr="00B119BC">
              <w:rPr>
                <w:sz w:val="20"/>
                <w:szCs w:val="20"/>
              </w:rPr>
              <w:t>7.1</w:t>
            </w:r>
          </w:p>
        </w:tc>
        <w:tc>
          <w:tcPr>
            <w:tcW w:w="1080" w:type="dxa"/>
            <w:shd w:val="clear" w:color="auto" w:fill="FFFFFF"/>
            <w:tcMar>
              <w:top w:w="0" w:type="dxa"/>
              <w:left w:w="0" w:type="dxa"/>
              <w:bottom w:w="0" w:type="dxa"/>
              <w:right w:w="0" w:type="dxa"/>
            </w:tcMar>
            <w:vAlign w:val="center"/>
          </w:tcPr>
          <w:p w14:paraId="0865B405" w14:textId="77777777" w:rsidR="00B119BC" w:rsidRPr="00B119BC" w:rsidRDefault="00B119BC" w:rsidP="00B119BC">
            <w:pPr>
              <w:spacing w:before="240" w:after="0" w:line="340" w:lineRule="auto"/>
              <w:jc w:val="center"/>
              <w:rPr>
                <w:sz w:val="20"/>
                <w:szCs w:val="20"/>
              </w:rPr>
            </w:pPr>
            <w:r w:rsidRPr="00B119BC">
              <w:rPr>
                <w:sz w:val="20"/>
                <w:szCs w:val="20"/>
              </w:rPr>
              <w:t>10.2</w:t>
            </w:r>
          </w:p>
        </w:tc>
      </w:tr>
      <w:tr w:rsidR="00B119BC" w:rsidRPr="00B119BC" w14:paraId="203D0401" w14:textId="77777777" w:rsidTr="00B119BC">
        <w:trPr>
          <w:cantSplit/>
          <w:jc w:val="center"/>
        </w:trPr>
        <w:tc>
          <w:tcPr>
            <w:tcW w:w="2410" w:type="dxa"/>
            <w:shd w:val="clear" w:color="auto" w:fill="FFFFFF"/>
            <w:tcMar>
              <w:top w:w="0" w:type="dxa"/>
              <w:left w:w="0" w:type="dxa"/>
              <w:bottom w:w="0" w:type="dxa"/>
              <w:right w:w="0" w:type="dxa"/>
            </w:tcMar>
            <w:vAlign w:val="center"/>
          </w:tcPr>
          <w:p w14:paraId="694C5896" w14:textId="77777777" w:rsidR="00B119BC" w:rsidRPr="00B119BC" w:rsidRDefault="00B119BC" w:rsidP="00B119BC">
            <w:pPr>
              <w:spacing w:before="240" w:after="0" w:line="340" w:lineRule="auto"/>
              <w:rPr>
                <w:sz w:val="20"/>
                <w:szCs w:val="20"/>
              </w:rPr>
            </w:pPr>
            <w:r w:rsidRPr="00B119BC">
              <w:rPr>
                <w:sz w:val="20"/>
                <w:szCs w:val="20"/>
              </w:rPr>
              <w:t>Población (log)</w:t>
            </w:r>
          </w:p>
        </w:tc>
        <w:tc>
          <w:tcPr>
            <w:tcW w:w="851" w:type="dxa"/>
            <w:shd w:val="clear" w:color="auto" w:fill="FFFFFF"/>
            <w:tcMar>
              <w:top w:w="0" w:type="dxa"/>
              <w:left w:w="0" w:type="dxa"/>
              <w:bottom w:w="0" w:type="dxa"/>
              <w:right w:w="0" w:type="dxa"/>
            </w:tcMar>
            <w:vAlign w:val="center"/>
          </w:tcPr>
          <w:p w14:paraId="30EF631C" w14:textId="77777777" w:rsidR="00B119BC" w:rsidRPr="00B119BC" w:rsidRDefault="00B119BC" w:rsidP="00B119BC">
            <w:pPr>
              <w:spacing w:before="240" w:after="0" w:line="340" w:lineRule="auto"/>
              <w:jc w:val="center"/>
              <w:rPr>
                <w:sz w:val="20"/>
                <w:szCs w:val="20"/>
              </w:rPr>
            </w:pPr>
            <w:r w:rsidRPr="00B119BC">
              <w:rPr>
                <w:sz w:val="20"/>
                <w:szCs w:val="20"/>
              </w:rPr>
              <w:t>1783</w:t>
            </w:r>
          </w:p>
        </w:tc>
        <w:tc>
          <w:tcPr>
            <w:tcW w:w="1134" w:type="dxa"/>
            <w:shd w:val="clear" w:color="auto" w:fill="FFFFFF"/>
            <w:tcMar>
              <w:top w:w="0" w:type="dxa"/>
              <w:left w:w="0" w:type="dxa"/>
              <w:bottom w:w="0" w:type="dxa"/>
              <w:right w:w="0" w:type="dxa"/>
            </w:tcMar>
            <w:vAlign w:val="center"/>
          </w:tcPr>
          <w:p w14:paraId="6ABA033C" w14:textId="77777777" w:rsidR="00B119BC" w:rsidRPr="00B119BC" w:rsidRDefault="00B119BC" w:rsidP="00B119BC">
            <w:pPr>
              <w:spacing w:before="240" w:after="0" w:line="340" w:lineRule="auto"/>
              <w:jc w:val="center"/>
              <w:rPr>
                <w:sz w:val="20"/>
                <w:szCs w:val="20"/>
              </w:rPr>
            </w:pPr>
            <w:r w:rsidRPr="00B119BC">
              <w:rPr>
                <w:sz w:val="20"/>
                <w:szCs w:val="20"/>
              </w:rPr>
              <w:t>2</w:t>
            </w:r>
          </w:p>
        </w:tc>
        <w:tc>
          <w:tcPr>
            <w:tcW w:w="692" w:type="dxa"/>
            <w:shd w:val="clear" w:color="auto" w:fill="FFFFFF"/>
            <w:tcMar>
              <w:top w:w="0" w:type="dxa"/>
              <w:left w:w="0" w:type="dxa"/>
              <w:bottom w:w="0" w:type="dxa"/>
              <w:right w:w="0" w:type="dxa"/>
            </w:tcMar>
            <w:vAlign w:val="center"/>
          </w:tcPr>
          <w:p w14:paraId="7D1AFB5F" w14:textId="77777777" w:rsidR="00B119BC" w:rsidRPr="00B119BC" w:rsidRDefault="00B119BC" w:rsidP="00B119BC">
            <w:pPr>
              <w:spacing w:before="240" w:after="0" w:line="340" w:lineRule="auto"/>
              <w:jc w:val="center"/>
              <w:rPr>
                <w:sz w:val="20"/>
                <w:szCs w:val="20"/>
              </w:rPr>
            </w:pPr>
            <w:r w:rsidRPr="00B119BC">
              <w:rPr>
                <w:sz w:val="20"/>
                <w:szCs w:val="20"/>
              </w:rPr>
              <w:t>16.4</w:t>
            </w:r>
          </w:p>
        </w:tc>
        <w:tc>
          <w:tcPr>
            <w:tcW w:w="637" w:type="dxa"/>
            <w:shd w:val="clear" w:color="auto" w:fill="FFFFFF"/>
            <w:tcMar>
              <w:top w:w="0" w:type="dxa"/>
              <w:left w:w="0" w:type="dxa"/>
              <w:bottom w:w="0" w:type="dxa"/>
              <w:right w:w="0" w:type="dxa"/>
            </w:tcMar>
            <w:vAlign w:val="center"/>
          </w:tcPr>
          <w:p w14:paraId="0F2A5EE8" w14:textId="77777777" w:rsidR="00B119BC" w:rsidRPr="00B119BC" w:rsidRDefault="00B119BC" w:rsidP="00B119BC">
            <w:pPr>
              <w:spacing w:before="240" w:after="0" w:line="340" w:lineRule="auto"/>
              <w:jc w:val="center"/>
              <w:rPr>
                <w:sz w:val="20"/>
                <w:szCs w:val="20"/>
              </w:rPr>
            </w:pPr>
            <w:r w:rsidRPr="00B119BC">
              <w:rPr>
                <w:sz w:val="20"/>
                <w:szCs w:val="20"/>
              </w:rPr>
              <w:t>1.3</w:t>
            </w:r>
          </w:p>
        </w:tc>
        <w:tc>
          <w:tcPr>
            <w:tcW w:w="677" w:type="dxa"/>
            <w:shd w:val="clear" w:color="auto" w:fill="FFFFFF"/>
            <w:tcMar>
              <w:top w:w="0" w:type="dxa"/>
              <w:left w:w="0" w:type="dxa"/>
              <w:bottom w:w="0" w:type="dxa"/>
              <w:right w:w="0" w:type="dxa"/>
            </w:tcMar>
            <w:vAlign w:val="center"/>
          </w:tcPr>
          <w:p w14:paraId="67879344" w14:textId="77777777" w:rsidR="00B119BC" w:rsidRPr="00B119BC" w:rsidRDefault="00B119BC" w:rsidP="00B119BC">
            <w:pPr>
              <w:spacing w:before="240" w:after="0" w:line="340" w:lineRule="auto"/>
              <w:jc w:val="center"/>
              <w:rPr>
                <w:sz w:val="20"/>
                <w:szCs w:val="20"/>
              </w:rPr>
            </w:pPr>
            <w:r w:rsidRPr="00B119BC">
              <w:rPr>
                <w:sz w:val="20"/>
                <w:szCs w:val="20"/>
              </w:rPr>
              <w:t>13.7</w:t>
            </w:r>
          </w:p>
        </w:tc>
        <w:tc>
          <w:tcPr>
            <w:tcW w:w="1012" w:type="dxa"/>
            <w:shd w:val="clear" w:color="auto" w:fill="FFFFFF"/>
            <w:tcMar>
              <w:top w:w="0" w:type="dxa"/>
              <w:left w:w="0" w:type="dxa"/>
              <w:bottom w:w="0" w:type="dxa"/>
              <w:right w:w="0" w:type="dxa"/>
            </w:tcMar>
            <w:vAlign w:val="center"/>
          </w:tcPr>
          <w:p w14:paraId="57297F41" w14:textId="77777777" w:rsidR="00B119BC" w:rsidRPr="00B119BC" w:rsidRDefault="00B119BC" w:rsidP="00B119BC">
            <w:pPr>
              <w:spacing w:before="240" w:after="0" w:line="340" w:lineRule="auto"/>
              <w:jc w:val="center"/>
              <w:rPr>
                <w:sz w:val="20"/>
                <w:szCs w:val="20"/>
              </w:rPr>
            </w:pPr>
            <w:r w:rsidRPr="00B119BC">
              <w:rPr>
                <w:sz w:val="20"/>
                <w:szCs w:val="20"/>
              </w:rPr>
              <w:t>16.2</w:t>
            </w:r>
          </w:p>
        </w:tc>
        <w:tc>
          <w:tcPr>
            <w:tcW w:w="1080" w:type="dxa"/>
            <w:shd w:val="clear" w:color="auto" w:fill="FFFFFF"/>
            <w:tcMar>
              <w:top w:w="0" w:type="dxa"/>
              <w:left w:w="0" w:type="dxa"/>
              <w:bottom w:w="0" w:type="dxa"/>
              <w:right w:w="0" w:type="dxa"/>
            </w:tcMar>
            <w:vAlign w:val="center"/>
          </w:tcPr>
          <w:p w14:paraId="6E03BB80" w14:textId="77777777" w:rsidR="00B119BC" w:rsidRPr="00B119BC" w:rsidRDefault="00B119BC" w:rsidP="00B119BC">
            <w:pPr>
              <w:spacing w:before="240" w:after="0" w:line="340" w:lineRule="auto"/>
              <w:jc w:val="center"/>
              <w:rPr>
                <w:sz w:val="20"/>
                <w:szCs w:val="20"/>
              </w:rPr>
            </w:pPr>
            <w:r w:rsidRPr="00B119BC">
              <w:rPr>
                <w:sz w:val="20"/>
                <w:szCs w:val="20"/>
              </w:rPr>
              <w:t>19.3</w:t>
            </w:r>
          </w:p>
        </w:tc>
      </w:tr>
      <w:tr w:rsidR="00B119BC" w:rsidRPr="00B119BC" w14:paraId="2865723B" w14:textId="77777777" w:rsidTr="00B119BC">
        <w:trPr>
          <w:cantSplit/>
          <w:jc w:val="center"/>
        </w:trPr>
        <w:tc>
          <w:tcPr>
            <w:tcW w:w="2410" w:type="dxa"/>
            <w:shd w:val="clear" w:color="auto" w:fill="FFFFFF"/>
            <w:tcMar>
              <w:top w:w="0" w:type="dxa"/>
              <w:left w:w="0" w:type="dxa"/>
              <w:bottom w:w="0" w:type="dxa"/>
              <w:right w:w="0" w:type="dxa"/>
            </w:tcMar>
            <w:vAlign w:val="center"/>
          </w:tcPr>
          <w:p w14:paraId="5FCF606B" w14:textId="77777777" w:rsidR="00B119BC" w:rsidRPr="00B119BC" w:rsidRDefault="00B119BC" w:rsidP="00B119BC">
            <w:pPr>
              <w:spacing w:before="240" w:after="0" w:line="340" w:lineRule="auto"/>
              <w:rPr>
                <w:sz w:val="20"/>
                <w:szCs w:val="20"/>
              </w:rPr>
            </w:pPr>
            <w:r w:rsidRPr="00B119BC">
              <w:rPr>
                <w:sz w:val="20"/>
                <w:szCs w:val="20"/>
              </w:rPr>
              <w:t>Nivel de democracia (Polity II)</w:t>
            </w:r>
          </w:p>
        </w:tc>
        <w:tc>
          <w:tcPr>
            <w:tcW w:w="851" w:type="dxa"/>
            <w:shd w:val="clear" w:color="auto" w:fill="FFFFFF"/>
            <w:tcMar>
              <w:top w:w="0" w:type="dxa"/>
              <w:left w:w="0" w:type="dxa"/>
              <w:bottom w:w="0" w:type="dxa"/>
              <w:right w:w="0" w:type="dxa"/>
            </w:tcMar>
            <w:vAlign w:val="center"/>
          </w:tcPr>
          <w:p w14:paraId="31B2E2B5" w14:textId="77777777" w:rsidR="00B119BC" w:rsidRPr="00B119BC" w:rsidRDefault="00B119BC" w:rsidP="00B119BC">
            <w:pPr>
              <w:spacing w:before="240" w:after="0" w:line="340" w:lineRule="auto"/>
              <w:jc w:val="center"/>
              <w:rPr>
                <w:sz w:val="20"/>
                <w:szCs w:val="20"/>
              </w:rPr>
            </w:pPr>
            <w:r w:rsidRPr="00B119BC">
              <w:rPr>
                <w:sz w:val="20"/>
                <w:szCs w:val="20"/>
              </w:rPr>
              <w:t>7</w:t>
            </w:r>
          </w:p>
        </w:tc>
        <w:tc>
          <w:tcPr>
            <w:tcW w:w="1134" w:type="dxa"/>
            <w:shd w:val="clear" w:color="auto" w:fill="FFFFFF"/>
            <w:tcMar>
              <w:top w:w="0" w:type="dxa"/>
              <w:left w:w="0" w:type="dxa"/>
              <w:bottom w:w="0" w:type="dxa"/>
              <w:right w:w="0" w:type="dxa"/>
            </w:tcMar>
            <w:vAlign w:val="center"/>
          </w:tcPr>
          <w:p w14:paraId="36AFFA91" w14:textId="77777777" w:rsidR="00B119BC" w:rsidRPr="00B119BC" w:rsidRDefault="00B119BC" w:rsidP="00B119BC">
            <w:pPr>
              <w:spacing w:before="240" w:after="0" w:line="340" w:lineRule="auto"/>
              <w:jc w:val="center"/>
              <w:rPr>
                <w:sz w:val="20"/>
                <w:szCs w:val="20"/>
              </w:rPr>
            </w:pPr>
            <w:r w:rsidRPr="00B119BC">
              <w:rPr>
                <w:sz w:val="20"/>
                <w:szCs w:val="20"/>
              </w:rPr>
              <w:t>0</w:t>
            </w:r>
          </w:p>
        </w:tc>
        <w:tc>
          <w:tcPr>
            <w:tcW w:w="692" w:type="dxa"/>
            <w:shd w:val="clear" w:color="auto" w:fill="FFFFFF"/>
            <w:tcMar>
              <w:top w:w="0" w:type="dxa"/>
              <w:left w:w="0" w:type="dxa"/>
              <w:bottom w:w="0" w:type="dxa"/>
              <w:right w:w="0" w:type="dxa"/>
            </w:tcMar>
            <w:vAlign w:val="center"/>
          </w:tcPr>
          <w:p w14:paraId="182C6B17" w14:textId="77777777" w:rsidR="00B119BC" w:rsidRPr="00B119BC" w:rsidRDefault="00B119BC" w:rsidP="00B119BC">
            <w:pPr>
              <w:spacing w:before="240" w:after="0" w:line="340" w:lineRule="auto"/>
              <w:jc w:val="center"/>
              <w:rPr>
                <w:sz w:val="20"/>
                <w:szCs w:val="20"/>
              </w:rPr>
            </w:pPr>
            <w:r w:rsidRPr="00B119BC">
              <w:rPr>
                <w:sz w:val="20"/>
                <w:szCs w:val="20"/>
              </w:rPr>
              <w:t>0.4</w:t>
            </w:r>
          </w:p>
        </w:tc>
        <w:tc>
          <w:tcPr>
            <w:tcW w:w="637" w:type="dxa"/>
            <w:shd w:val="clear" w:color="auto" w:fill="FFFFFF"/>
            <w:tcMar>
              <w:top w:w="0" w:type="dxa"/>
              <w:left w:w="0" w:type="dxa"/>
              <w:bottom w:w="0" w:type="dxa"/>
              <w:right w:w="0" w:type="dxa"/>
            </w:tcMar>
            <w:vAlign w:val="center"/>
          </w:tcPr>
          <w:p w14:paraId="7B14FFBC" w14:textId="77777777" w:rsidR="00B119BC" w:rsidRPr="00B119BC" w:rsidRDefault="00B119BC" w:rsidP="00B119BC">
            <w:pPr>
              <w:spacing w:before="240" w:after="0" w:line="340" w:lineRule="auto"/>
              <w:jc w:val="center"/>
              <w:rPr>
                <w:sz w:val="20"/>
                <w:szCs w:val="20"/>
              </w:rPr>
            </w:pPr>
            <w:r w:rsidRPr="00B119BC">
              <w:rPr>
                <w:sz w:val="20"/>
                <w:szCs w:val="20"/>
              </w:rPr>
              <w:t>1.1</w:t>
            </w:r>
          </w:p>
        </w:tc>
        <w:tc>
          <w:tcPr>
            <w:tcW w:w="677" w:type="dxa"/>
            <w:shd w:val="clear" w:color="auto" w:fill="FFFFFF"/>
            <w:tcMar>
              <w:top w:w="0" w:type="dxa"/>
              <w:left w:w="0" w:type="dxa"/>
              <w:bottom w:w="0" w:type="dxa"/>
              <w:right w:w="0" w:type="dxa"/>
            </w:tcMar>
            <w:vAlign w:val="center"/>
          </w:tcPr>
          <w:p w14:paraId="6FA3B9D8" w14:textId="77777777" w:rsidR="00B119BC" w:rsidRPr="00B119BC" w:rsidRDefault="00B119BC" w:rsidP="00B119BC">
            <w:pPr>
              <w:spacing w:before="240" w:after="0" w:line="340" w:lineRule="auto"/>
              <w:jc w:val="center"/>
              <w:rPr>
                <w:sz w:val="20"/>
                <w:szCs w:val="20"/>
              </w:rPr>
            </w:pPr>
            <w:r w:rsidRPr="00B119BC">
              <w:rPr>
                <w:sz w:val="20"/>
                <w:szCs w:val="20"/>
              </w:rPr>
              <w:t>0.0</w:t>
            </w:r>
          </w:p>
        </w:tc>
        <w:tc>
          <w:tcPr>
            <w:tcW w:w="1012" w:type="dxa"/>
            <w:shd w:val="clear" w:color="auto" w:fill="FFFFFF"/>
            <w:tcMar>
              <w:top w:w="0" w:type="dxa"/>
              <w:left w:w="0" w:type="dxa"/>
              <w:bottom w:w="0" w:type="dxa"/>
              <w:right w:w="0" w:type="dxa"/>
            </w:tcMar>
            <w:vAlign w:val="center"/>
          </w:tcPr>
          <w:p w14:paraId="771D78B2" w14:textId="77777777" w:rsidR="00B119BC" w:rsidRPr="00B119BC" w:rsidRDefault="00B119BC" w:rsidP="00B119BC">
            <w:pPr>
              <w:spacing w:before="240" w:after="0" w:line="340" w:lineRule="auto"/>
              <w:jc w:val="center"/>
              <w:rPr>
                <w:sz w:val="20"/>
                <w:szCs w:val="20"/>
              </w:rPr>
            </w:pPr>
            <w:r w:rsidRPr="00B119BC">
              <w:rPr>
                <w:sz w:val="20"/>
                <w:szCs w:val="20"/>
              </w:rPr>
              <w:t>0.0</w:t>
            </w:r>
          </w:p>
        </w:tc>
        <w:tc>
          <w:tcPr>
            <w:tcW w:w="1080" w:type="dxa"/>
            <w:shd w:val="clear" w:color="auto" w:fill="FFFFFF"/>
            <w:tcMar>
              <w:top w:w="0" w:type="dxa"/>
              <w:left w:w="0" w:type="dxa"/>
              <w:bottom w:w="0" w:type="dxa"/>
              <w:right w:w="0" w:type="dxa"/>
            </w:tcMar>
            <w:vAlign w:val="center"/>
          </w:tcPr>
          <w:p w14:paraId="40AC2DCA" w14:textId="77777777" w:rsidR="00B119BC" w:rsidRPr="00B119BC" w:rsidRDefault="00B119BC" w:rsidP="00B119BC">
            <w:pPr>
              <w:spacing w:before="240" w:after="0" w:line="340" w:lineRule="auto"/>
              <w:jc w:val="center"/>
              <w:rPr>
                <w:sz w:val="20"/>
                <w:szCs w:val="20"/>
              </w:rPr>
            </w:pPr>
            <w:r w:rsidRPr="00B119BC">
              <w:rPr>
                <w:sz w:val="20"/>
                <w:szCs w:val="20"/>
              </w:rPr>
              <w:t>8.0</w:t>
            </w:r>
          </w:p>
        </w:tc>
      </w:tr>
      <w:tr w:rsidR="00B119BC" w:rsidRPr="00B119BC" w14:paraId="788EFA79" w14:textId="77777777" w:rsidTr="00B119BC">
        <w:trPr>
          <w:cantSplit/>
          <w:jc w:val="center"/>
        </w:trPr>
        <w:tc>
          <w:tcPr>
            <w:tcW w:w="2410" w:type="dxa"/>
            <w:tcBorders>
              <w:bottom w:val="single" w:sz="16" w:space="0" w:color="666666"/>
            </w:tcBorders>
            <w:shd w:val="clear" w:color="auto" w:fill="FFFFFF"/>
            <w:tcMar>
              <w:top w:w="0" w:type="dxa"/>
              <w:left w:w="0" w:type="dxa"/>
              <w:bottom w:w="0" w:type="dxa"/>
              <w:right w:w="0" w:type="dxa"/>
            </w:tcMar>
            <w:vAlign w:val="center"/>
          </w:tcPr>
          <w:p w14:paraId="56DBFEB9" w14:textId="77777777" w:rsidR="00B119BC" w:rsidRPr="00B119BC" w:rsidRDefault="00B119BC" w:rsidP="00B119BC">
            <w:pPr>
              <w:spacing w:before="240" w:after="0" w:line="340" w:lineRule="auto"/>
              <w:rPr>
                <w:sz w:val="20"/>
                <w:szCs w:val="20"/>
              </w:rPr>
            </w:pPr>
            <w:r w:rsidRPr="00B119BC">
              <w:rPr>
                <w:sz w:val="20"/>
                <w:szCs w:val="20"/>
              </w:rPr>
              <w:t>Conflictos armados</w:t>
            </w:r>
          </w:p>
        </w:tc>
        <w:tc>
          <w:tcPr>
            <w:tcW w:w="851" w:type="dxa"/>
            <w:tcBorders>
              <w:bottom w:val="single" w:sz="16" w:space="0" w:color="666666"/>
            </w:tcBorders>
            <w:shd w:val="clear" w:color="auto" w:fill="FFFFFF"/>
            <w:tcMar>
              <w:top w:w="0" w:type="dxa"/>
              <w:left w:w="0" w:type="dxa"/>
              <w:bottom w:w="0" w:type="dxa"/>
              <w:right w:w="0" w:type="dxa"/>
            </w:tcMar>
            <w:vAlign w:val="center"/>
          </w:tcPr>
          <w:p w14:paraId="50C7EF60" w14:textId="77777777" w:rsidR="00B119BC" w:rsidRPr="00B119BC" w:rsidRDefault="00B119BC" w:rsidP="00B119BC">
            <w:pPr>
              <w:spacing w:before="240" w:after="0" w:line="340" w:lineRule="auto"/>
              <w:jc w:val="center"/>
              <w:rPr>
                <w:sz w:val="20"/>
                <w:szCs w:val="20"/>
              </w:rPr>
            </w:pPr>
            <w:r w:rsidRPr="00B119BC">
              <w:rPr>
                <w:sz w:val="20"/>
                <w:szCs w:val="20"/>
              </w:rPr>
              <w:t>15</w:t>
            </w:r>
          </w:p>
        </w:tc>
        <w:tc>
          <w:tcPr>
            <w:tcW w:w="1134" w:type="dxa"/>
            <w:tcBorders>
              <w:bottom w:val="single" w:sz="16" w:space="0" w:color="666666"/>
            </w:tcBorders>
            <w:shd w:val="clear" w:color="auto" w:fill="FFFFFF"/>
            <w:tcMar>
              <w:top w:w="0" w:type="dxa"/>
              <w:left w:w="0" w:type="dxa"/>
              <w:bottom w:w="0" w:type="dxa"/>
              <w:right w:w="0" w:type="dxa"/>
            </w:tcMar>
            <w:vAlign w:val="center"/>
          </w:tcPr>
          <w:p w14:paraId="21370C7F" w14:textId="77777777" w:rsidR="00B119BC" w:rsidRPr="00B119BC" w:rsidRDefault="00B119BC" w:rsidP="00B119BC">
            <w:pPr>
              <w:spacing w:before="240" w:after="0" w:line="340" w:lineRule="auto"/>
              <w:jc w:val="center"/>
              <w:rPr>
                <w:sz w:val="20"/>
                <w:szCs w:val="20"/>
              </w:rPr>
            </w:pPr>
            <w:r w:rsidRPr="00B119BC">
              <w:rPr>
                <w:sz w:val="20"/>
                <w:szCs w:val="20"/>
              </w:rPr>
              <w:t>0</w:t>
            </w:r>
          </w:p>
        </w:tc>
        <w:tc>
          <w:tcPr>
            <w:tcW w:w="692" w:type="dxa"/>
            <w:tcBorders>
              <w:bottom w:val="single" w:sz="16" w:space="0" w:color="666666"/>
            </w:tcBorders>
            <w:shd w:val="clear" w:color="auto" w:fill="FFFFFF"/>
            <w:tcMar>
              <w:top w:w="0" w:type="dxa"/>
              <w:left w:w="0" w:type="dxa"/>
              <w:bottom w:w="0" w:type="dxa"/>
              <w:right w:w="0" w:type="dxa"/>
            </w:tcMar>
            <w:vAlign w:val="center"/>
          </w:tcPr>
          <w:p w14:paraId="57E716B6" w14:textId="77777777" w:rsidR="00B119BC" w:rsidRPr="00B119BC" w:rsidRDefault="00B119BC" w:rsidP="00B119BC">
            <w:pPr>
              <w:spacing w:before="240" w:after="0" w:line="340" w:lineRule="auto"/>
              <w:jc w:val="center"/>
              <w:rPr>
                <w:sz w:val="20"/>
                <w:szCs w:val="20"/>
              </w:rPr>
            </w:pPr>
            <w:r w:rsidRPr="00B119BC">
              <w:rPr>
                <w:sz w:val="20"/>
                <w:szCs w:val="20"/>
              </w:rPr>
              <w:t>1.0</w:t>
            </w:r>
          </w:p>
        </w:tc>
        <w:tc>
          <w:tcPr>
            <w:tcW w:w="637" w:type="dxa"/>
            <w:tcBorders>
              <w:bottom w:val="single" w:sz="16" w:space="0" w:color="666666"/>
            </w:tcBorders>
            <w:shd w:val="clear" w:color="auto" w:fill="FFFFFF"/>
            <w:tcMar>
              <w:top w:w="0" w:type="dxa"/>
              <w:left w:w="0" w:type="dxa"/>
              <w:bottom w:w="0" w:type="dxa"/>
              <w:right w:w="0" w:type="dxa"/>
            </w:tcMar>
            <w:vAlign w:val="center"/>
          </w:tcPr>
          <w:p w14:paraId="575F3542" w14:textId="77777777" w:rsidR="00B119BC" w:rsidRPr="00B119BC" w:rsidRDefault="00B119BC" w:rsidP="00B119BC">
            <w:pPr>
              <w:spacing w:before="240" w:after="0" w:line="340" w:lineRule="auto"/>
              <w:jc w:val="center"/>
              <w:rPr>
                <w:sz w:val="20"/>
                <w:szCs w:val="20"/>
              </w:rPr>
            </w:pPr>
            <w:r w:rsidRPr="00B119BC">
              <w:rPr>
                <w:sz w:val="20"/>
                <w:szCs w:val="20"/>
              </w:rPr>
              <w:t>2.3</w:t>
            </w:r>
          </w:p>
        </w:tc>
        <w:tc>
          <w:tcPr>
            <w:tcW w:w="677" w:type="dxa"/>
            <w:tcBorders>
              <w:bottom w:val="single" w:sz="16" w:space="0" w:color="666666"/>
            </w:tcBorders>
            <w:shd w:val="clear" w:color="auto" w:fill="FFFFFF"/>
            <w:tcMar>
              <w:top w:w="0" w:type="dxa"/>
              <w:left w:w="0" w:type="dxa"/>
              <w:bottom w:w="0" w:type="dxa"/>
              <w:right w:w="0" w:type="dxa"/>
            </w:tcMar>
            <w:vAlign w:val="center"/>
          </w:tcPr>
          <w:p w14:paraId="7A8B0974" w14:textId="77777777" w:rsidR="00B119BC" w:rsidRPr="00B119BC" w:rsidRDefault="00B119BC" w:rsidP="00B119BC">
            <w:pPr>
              <w:spacing w:before="240" w:after="0" w:line="340" w:lineRule="auto"/>
              <w:jc w:val="center"/>
              <w:rPr>
                <w:sz w:val="20"/>
                <w:szCs w:val="20"/>
              </w:rPr>
            </w:pPr>
            <w:r w:rsidRPr="00B119BC">
              <w:rPr>
                <w:sz w:val="20"/>
                <w:szCs w:val="20"/>
              </w:rPr>
              <w:t>0.0</w:t>
            </w:r>
          </w:p>
        </w:tc>
        <w:tc>
          <w:tcPr>
            <w:tcW w:w="1012" w:type="dxa"/>
            <w:tcBorders>
              <w:bottom w:val="single" w:sz="16" w:space="0" w:color="666666"/>
            </w:tcBorders>
            <w:shd w:val="clear" w:color="auto" w:fill="FFFFFF"/>
            <w:tcMar>
              <w:top w:w="0" w:type="dxa"/>
              <w:left w:w="0" w:type="dxa"/>
              <w:bottom w:w="0" w:type="dxa"/>
              <w:right w:w="0" w:type="dxa"/>
            </w:tcMar>
            <w:vAlign w:val="center"/>
          </w:tcPr>
          <w:p w14:paraId="42F6973C" w14:textId="77777777" w:rsidR="00B119BC" w:rsidRPr="00B119BC" w:rsidRDefault="00B119BC" w:rsidP="00B119BC">
            <w:pPr>
              <w:spacing w:before="240" w:after="0" w:line="340" w:lineRule="auto"/>
              <w:jc w:val="center"/>
              <w:rPr>
                <w:sz w:val="20"/>
                <w:szCs w:val="20"/>
              </w:rPr>
            </w:pPr>
            <w:r w:rsidRPr="00B119BC">
              <w:rPr>
                <w:sz w:val="20"/>
                <w:szCs w:val="20"/>
              </w:rPr>
              <w:t>0.0</w:t>
            </w:r>
          </w:p>
        </w:tc>
        <w:tc>
          <w:tcPr>
            <w:tcW w:w="1080" w:type="dxa"/>
            <w:tcBorders>
              <w:bottom w:val="single" w:sz="16" w:space="0" w:color="666666"/>
            </w:tcBorders>
            <w:shd w:val="clear" w:color="auto" w:fill="FFFFFF"/>
            <w:tcMar>
              <w:top w:w="0" w:type="dxa"/>
              <w:left w:w="0" w:type="dxa"/>
              <w:bottom w:w="0" w:type="dxa"/>
              <w:right w:w="0" w:type="dxa"/>
            </w:tcMar>
            <w:vAlign w:val="center"/>
          </w:tcPr>
          <w:p w14:paraId="0914A873" w14:textId="77777777" w:rsidR="00B119BC" w:rsidRPr="00B119BC" w:rsidRDefault="00B119BC" w:rsidP="00B119BC">
            <w:pPr>
              <w:spacing w:before="240" w:after="0" w:line="340" w:lineRule="auto"/>
              <w:jc w:val="center"/>
              <w:rPr>
                <w:sz w:val="20"/>
                <w:szCs w:val="20"/>
              </w:rPr>
            </w:pPr>
            <w:r w:rsidRPr="00B119BC">
              <w:rPr>
                <w:sz w:val="20"/>
                <w:szCs w:val="20"/>
              </w:rPr>
              <w:t>14.0</w:t>
            </w:r>
          </w:p>
        </w:tc>
      </w:tr>
    </w:tbl>
    <w:p w14:paraId="6B47434B" w14:textId="25C2B10B" w:rsidR="00074FEC" w:rsidRDefault="00074FEC" w:rsidP="001C1263">
      <w:pPr>
        <w:spacing w:after="492" w:line="340" w:lineRule="auto"/>
        <w:jc w:val="both"/>
      </w:pPr>
    </w:p>
    <w:p w14:paraId="2276636A" w14:textId="7AC3BE53" w:rsidR="00B92DCE" w:rsidRPr="00B92DCE" w:rsidRDefault="00B92DCE" w:rsidP="00B92DCE">
      <w:pPr>
        <w:pStyle w:val="Ttulo2"/>
      </w:pPr>
      <w:r>
        <w:t>4. Técnicas de análisis de datos</w:t>
      </w:r>
    </w:p>
    <w:p w14:paraId="665EE9B3" w14:textId="77777777" w:rsidR="00A27784" w:rsidRDefault="00A27784" w:rsidP="00A27784">
      <w:pPr>
        <w:spacing w:after="492" w:line="340" w:lineRule="auto"/>
        <w:jc w:val="both"/>
      </w:pPr>
      <w:r w:rsidRPr="00B92DCE">
        <w:t>Para analizar los datos, se calculan estimadores de regresión por mínimos cuadrados ordinarios (MCO) para las variables del derecho de integridad física, utilizando efectos longitudinales y efectos fijos por transición democrática. El uso de la regresión por MCO se justifica en la medida en que la variable dependiente (protección de los derechos de integridad física) tiene un nivel de medición numérica, cuya variación puede ser explicada o predicha por diferentes factores o covariables de interés. El uso de efectos se explica por la necesidad de analizar la variación en la protección de los derechos humanos en el tiempo, dentro de las transiciones democráticas.</w:t>
      </w:r>
    </w:p>
    <w:p w14:paraId="171B2664" w14:textId="77777777" w:rsidR="00B92DCE" w:rsidRPr="00B92DCE" w:rsidRDefault="00B92DCE" w:rsidP="00B92DCE">
      <w:pPr>
        <w:spacing w:after="492" w:line="340" w:lineRule="auto"/>
        <w:jc w:val="both"/>
      </w:pPr>
      <w:r w:rsidRPr="00B92DCE">
        <w:t xml:space="preserve">Antes del cálculo de los modelos de regresión, realizaré un balance de la muestra mediante la técnica del emparejamiento por coincidencia exacta CEM, utilizando como variables de tratamiento a aquellos indicadores que dan cuenta de las medidas de justicia transicional implementadas en las transiciones (juicios y amnistías). El uso de esta técnica se justifica en la medida que se trabaja con una muestra de paneles no balanceados - que incluye a 89 países (N) con diferentes periodos de transición (T 1-37) -, lo que además nos obliga a corregir el error estándar en la estimación de coeficientes de regresión para reducir el sesgo de variable omitida, </w:t>
      </w:r>
      <w:r w:rsidRPr="00B92DCE">
        <w:lastRenderedPageBreak/>
        <w:t xml:space="preserve">y para resolver los problemas derivados de una eventual auto correlación entre las variables independientes, tanto a nivel temporal como transversal (Beck &amp; Katz, 2011). Además, retrasaré en un año cada </w:t>
      </w:r>
      <w:proofErr w:type="spellStart"/>
      <w:r w:rsidRPr="00B92DCE">
        <w:t>co-variable</w:t>
      </w:r>
      <w:proofErr w:type="spellEnd"/>
      <w:r w:rsidRPr="00B92DCE">
        <w:t xml:space="preserve"> de interés en los modelos calculados para eliminar la posibilidad de causalidad inversa en el análisis longitudinal.</w:t>
      </w:r>
    </w:p>
    <w:p w14:paraId="390EBA07" w14:textId="77777777" w:rsidR="009C235D" w:rsidRPr="00074FEC" w:rsidRDefault="009C235D" w:rsidP="001C1263">
      <w:pPr>
        <w:spacing w:after="492" w:line="340" w:lineRule="auto"/>
        <w:jc w:val="both"/>
      </w:pPr>
    </w:p>
    <w:sectPr w:rsidR="009C235D" w:rsidRPr="00074FEC">
      <w:footerReference w:type="even" r:id="rId10"/>
      <w:footerReference w:type="default" r:id="rId11"/>
      <w:footerReference w:type="first" r:id="rId12"/>
      <w:pgSz w:w="12240" w:h="15840"/>
      <w:pgMar w:top="1697" w:right="1697" w:bottom="2294" w:left="1702" w:header="720" w:footer="7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05001" w14:textId="77777777" w:rsidR="009D22EA" w:rsidRDefault="009D22EA">
      <w:pPr>
        <w:spacing w:after="0" w:line="240" w:lineRule="auto"/>
      </w:pPr>
      <w:r>
        <w:separator/>
      </w:r>
    </w:p>
  </w:endnote>
  <w:endnote w:type="continuationSeparator" w:id="0">
    <w:p w14:paraId="482A0F39" w14:textId="77777777" w:rsidR="009D22EA" w:rsidRDefault="009D2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73CA6" w14:textId="77777777" w:rsidR="00B30724" w:rsidRDefault="00000000">
    <w:pPr>
      <w:spacing w:after="0"/>
      <w:ind w:right="5"/>
      <w:jc w:val="center"/>
    </w:pPr>
    <w:r>
      <w:fldChar w:fldCharType="begin"/>
    </w:r>
    <w:r>
      <w:instrText xml:space="preserve"> PAGE   \* MERGEFORMAT </w:instrText>
    </w:r>
    <w:r>
      <w:fldChar w:fldCharType="separate"/>
    </w:r>
    <w:r>
      <w:rPr>
        <w:rFonts w:ascii="Calibri" w:eastAsia="Calibri" w:hAnsi="Calibri" w:cs="Calibri"/>
        <w:sz w:val="18"/>
      </w:rPr>
      <w:t>1</w:t>
    </w:r>
    <w:r>
      <w:rPr>
        <w:sz w:val="18"/>
      </w:rPr>
      <w:fldChar w:fldCharType="end"/>
    </w:r>
    <w:r>
      <w:rPr>
        <w:rFonts w:ascii="Calibri" w:eastAsia="Calibri" w:hAnsi="Calibri" w:cs="Calibri"/>
        <w:sz w:val="22"/>
      </w:rPr>
      <w:t xml:space="preserve"> </w:t>
    </w:r>
  </w:p>
  <w:p w14:paraId="14FE62DB" w14:textId="77777777" w:rsidR="00B30724" w:rsidRDefault="00000000">
    <w:pPr>
      <w:spacing w:after="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35E6D" w14:textId="77777777" w:rsidR="00B30724" w:rsidRDefault="00000000">
    <w:pPr>
      <w:spacing w:after="0"/>
      <w:ind w:right="5"/>
      <w:jc w:val="center"/>
    </w:pPr>
    <w:r>
      <w:fldChar w:fldCharType="begin"/>
    </w:r>
    <w:r>
      <w:instrText xml:space="preserve"> PAGE   \* MERGEFORMAT </w:instrText>
    </w:r>
    <w:r>
      <w:fldChar w:fldCharType="separate"/>
    </w:r>
    <w:r>
      <w:rPr>
        <w:rFonts w:ascii="Calibri" w:eastAsia="Calibri" w:hAnsi="Calibri" w:cs="Calibri"/>
        <w:sz w:val="18"/>
      </w:rPr>
      <w:t>1</w:t>
    </w:r>
    <w:r>
      <w:rPr>
        <w:sz w:val="18"/>
      </w:rPr>
      <w:fldChar w:fldCharType="end"/>
    </w:r>
    <w:r>
      <w:rPr>
        <w:rFonts w:ascii="Calibri" w:eastAsia="Calibri" w:hAnsi="Calibri" w:cs="Calibri"/>
        <w:sz w:val="22"/>
      </w:rPr>
      <w:t xml:space="preserve"> </w:t>
    </w:r>
  </w:p>
  <w:p w14:paraId="530A32F8" w14:textId="77777777" w:rsidR="00B30724" w:rsidRDefault="00000000">
    <w:pPr>
      <w:spacing w:after="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12167" w14:textId="77777777" w:rsidR="00B30724" w:rsidRDefault="00000000">
    <w:pPr>
      <w:spacing w:after="0"/>
      <w:ind w:right="5"/>
      <w:jc w:val="center"/>
    </w:pPr>
    <w:r>
      <w:fldChar w:fldCharType="begin"/>
    </w:r>
    <w:r>
      <w:instrText xml:space="preserve"> PAGE   \* MERGEFORMAT </w:instrText>
    </w:r>
    <w:r>
      <w:fldChar w:fldCharType="separate"/>
    </w:r>
    <w:r>
      <w:rPr>
        <w:rFonts w:ascii="Calibri" w:eastAsia="Calibri" w:hAnsi="Calibri" w:cs="Calibri"/>
        <w:sz w:val="18"/>
      </w:rPr>
      <w:t>1</w:t>
    </w:r>
    <w:r>
      <w:rPr>
        <w:sz w:val="18"/>
      </w:rPr>
      <w:fldChar w:fldCharType="end"/>
    </w:r>
    <w:r>
      <w:rPr>
        <w:rFonts w:ascii="Calibri" w:eastAsia="Calibri" w:hAnsi="Calibri" w:cs="Calibri"/>
        <w:sz w:val="22"/>
      </w:rPr>
      <w:t xml:space="preserve"> </w:t>
    </w:r>
  </w:p>
  <w:p w14:paraId="3F0B14BB" w14:textId="77777777" w:rsidR="00B30724" w:rsidRDefault="00000000">
    <w:pPr>
      <w:spacing w:after="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5629C" w14:textId="77777777" w:rsidR="009D22EA" w:rsidRDefault="009D22EA">
      <w:pPr>
        <w:spacing w:after="0" w:line="240" w:lineRule="auto"/>
      </w:pPr>
      <w:r>
        <w:separator/>
      </w:r>
    </w:p>
  </w:footnote>
  <w:footnote w:type="continuationSeparator" w:id="0">
    <w:p w14:paraId="08A6A7F3" w14:textId="77777777" w:rsidR="009D22EA" w:rsidRDefault="009D22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42F23"/>
    <w:multiLevelType w:val="hybridMultilevel"/>
    <w:tmpl w:val="1EC022A0"/>
    <w:lvl w:ilvl="0" w:tplc="C0DC46C2">
      <w:start w:val="1"/>
      <w:numFmt w:val="lowerLetter"/>
      <w:lvlText w:val="%1)"/>
      <w:lvlJc w:val="left"/>
      <w:pPr>
        <w:ind w:left="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1ECC554">
      <w:start w:val="1"/>
      <w:numFmt w:val="lowerLetter"/>
      <w:lvlText w:val="%2"/>
      <w:lvlJc w:val="left"/>
      <w:pPr>
        <w:ind w:left="1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DE0C988">
      <w:start w:val="1"/>
      <w:numFmt w:val="lowerRoman"/>
      <w:lvlText w:val="%3"/>
      <w:lvlJc w:val="left"/>
      <w:pPr>
        <w:ind w:left="22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C066BDE">
      <w:start w:val="1"/>
      <w:numFmt w:val="decimal"/>
      <w:lvlText w:val="%4"/>
      <w:lvlJc w:val="left"/>
      <w:pPr>
        <w:ind w:left="29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F3AE69C">
      <w:start w:val="1"/>
      <w:numFmt w:val="lowerLetter"/>
      <w:lvlText w:val="%5"/>
      <w:lvlJc w:val="left"/>
      <w:pPr>
        <w:ind w:left="36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612AADE">
      <w:start w:val="1"/>
      <w:numFmt w:val="lowerRoman"/>
      <w:lvlText w:val="%6"/>
      <w:lvlJc w:val="left"/>
      <w:pPr>
        <w:ind w:left="43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530E7CE">
      <w:start w:val="1"/>
      <w:numFmt w:val="decimal"/>
      <w:lvlText w:val="%7"/>
      <w:lvlJc w:val="left"/>
      <w:pPr>
        <w:ind w:left="51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2B2AD64">
      <w:start w:val="1"/>
      <w:numFmt w:val="lowerLetter"/>
      <w:lvlText w:val="%8"/>
      <w:lvlJc w:val="left"/>
      <w:pPr>
        <w:ind w:left="58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854B566">
      <w:start w:val="1"/>
      <w:numFmt w:val="lowerRoman"/>
      <w:lvlText w:val="%9"/>
      <w:lvlJc w:val="left"/>
      <w:pPr>
        <w:ind w:left="65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EDB2D2F"/>
    <w:multiLevelType w:val="hybridMultilevel"/>
    <w:tmpl w:val="C9705D22"/>
    <w:lvl w:ilvl="0" w:tplc="6044AC4E">
      <w:start w:val="1"/>
      <w:numFmt w:val="bullet"/>
      <w:lvlText w:val="-"/>
      <w:lvlJc w:val="left"/>
      <w:pPr>
        <w:ind w:left="720" w:hanging="360"/>
      </w:pPr>
      <w:rPr>
        <w:rFonts w:ascii="Times New Roman" w:eastAsiaTheme="minorHAnsi" w:hAnsi="Times New Roman" w:cs="Times New Roman" w:hint="default"/>
        <w:i/>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D4D1381"/>
    <w:multiLevelType w:val="hybridMultilevel"/>
    <w:tmpl w:val="DC9AADE6"/>
    <w:lvl w:ilvl="0" w:tplc="E724CEF0">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14AAC0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EC83DD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A169168">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92C501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EE0965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2A6697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A264FF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06AFAB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D1555DC"/>
    <w:multiLevelType w:val="hybridMultilevel"/>
    <w:tmpl w:val="25B05EC6"/>
    <w:lvl w:ilvl="0" w:tplc="52B0AD36">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B0AB6C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DC0364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9B8C90A">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1E03994">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054126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A9EC3DC">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DC211A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3B03BE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6D904D2"/>
    <w:multiLevelType w:val="hybridMultilevel"/>
    <w:tmpl w:val="1EF27528"/>
    <w:lvl w:ilvl="0" w:tplc="019402EC">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F262F8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EDEBE86">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972535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0CEC8C4">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10C105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F06F8C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E70818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70CE9E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E872C50"/>
    <w:multiLevelType w:val="hybridMultilevel"/>
    <w:tmpl w:val="665C3FB0"/>
    <w:lvl w:ilvl="0" w:tplc="BD96BF9C">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7DCCFD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1820DF6">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6DC72C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F5EBE4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EDC72B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29266F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03EAF2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5CEB54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58863F6"/>
    <w:multiLevelType w:val="hybridMultilevel"/>
    <w:tmpl w:val="2E42276C"/>
    <w:lvl w:ilvl="0" w:tplc="B14AEFD0">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2A8883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97A0FD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E1253C6">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C50F6C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22E10C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016722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F26F21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9C63E6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6F81647"/>
    <w:multiLevelType w:val="hybridMultilevel"/>
    <w:tmpl w:val="A8204252"/>
    <w:lvl w:ilvl="0" w:tplc="8EE0A2F4">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F7CF97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D689A1E">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19873F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8CE5C3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A427C7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7D8A00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0388F4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7FE546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CC46788"/>
    <w:multiLevelType w:val="hybridMultilevel"/>
    <w:tmpl w:val="0D027814"/>
    <w:lvl w:ilvl="0" w:tplc="F74CE7E6">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FB6D79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41E75E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662579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56A508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B1E8FF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ACEA70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DB862E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9A6FCE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41929AC"/>
    <w:multiLevelType w:val="hybridMultilevel"/>
    <w:tmpl w:val="EDD499CE"/>
    <w:lvl w:ilvl="0" w:tplc="EF3EAF72">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780FF8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E9CDE6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47E484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686265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5AE2F6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C70FB0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9E004D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AB255BA">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DDC2E42"/>
    <w:multiLevelType w:val="multilevel"/>
    <w:tmpl w:val="89FE3DC6"/>
    <w:lvl w:ilvl="0">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2"/>
      <w:numFmt w:val="decimal"/>
      <w:lvlRestart w:val="0"/>
      <w:lvlText w:val="%1.%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E387083"/>
    <w:multiLevelType w:val="hybridMultilevel"/>
    <w:tmpl w:val="597092A0"/>
    <w:lvl w:ilvl="0" w:tplc="AB2E7E34">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794CE5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C0EDCF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C58C96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B28237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13A495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3DE92F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F6C413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EAA230A">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570121379">
    <w:abstractNumId w:val="6"/>
  </w:num>
  <w:num w:numId="2" w16cid:durableId="499127605">
    <w:abstractNumId w:val="10"/>
  </w:num>
  <w:num w:numId="3" w16cid:durableId="1219978257">
    <w:abstractNumId w:val="5"/>
  </w:num>
  <w:num w:numId="4" w16cid:durableId="444496420">
    <w:abstractNumId w:val="11"/>
  </w:num>
  <w:num w:numId="5" w16cid:durableId="428743610">
    <w:abstractNumId w:val="3"/>
  </w:num>
  <w:num w:numId="6" w16cid:durableId="1582451830">
    <w:abstractNumId w:val="0"/>
  </w:num>
  <w:num w:numId="7" w16cid:durableId="36245719">
    <w:abstractNumId w:val="2"/>
  </w:num>
  <w:num w:numId="8" w16cid:durableId="919096181">
    <w:abstractNumId w:val="9"/>
  </w:num>
  <w:num w:numId="9" w16cid:durableId="671030">
    <w:abstractNumId w:val="7"/>
  </w:num>
  <w:num w:numId="10" w16cid:durableId="2018459278">
    <w:abstractNumId w:val="8"/>
  </w:num>
  <w:num w:numId="11" w16cid:durableId="2104689861">
    <w:abstractNumId w:val="4"/>
  </w:num>
  <w:num w:numId="12" w16cid:durableId="2026594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3DB"/>
    <w:rsid w:val="00074FEC"/>
    <w:rsid w:val="00090B85"/>
    <w:rsid w:val="000C317A"/>
    <w:rsid w:val="00190841"/>
    <w:rsid w:val="001C1263"/>
    <w:rsid w:val="001C4C36"/>
    <w:rsid w:val="001E15D0"/>
    <w:rsid w:val="001E4AF0"/>
    <w:rsid w:val="00237D58"/>
    <w:rsid w:val="002C25F1"/>
    <w:rsid w:val="003018F1"/>
    <w:rsid w:val="00343613"/>
    <w:rsid w:val="003F36E0"/>
    <w:rsid w:val="003F3B3D"/>
    <w:rsid w:val="005301D5"/>
    <w:rsid w:val="00566A68"/>
    <w:rsid w:val="00580242"/>
    <w:rsid w:val="005C1515"/>
    <w:rsid w:val="005C39B0"/>
    <w:rsid w:val="005D7F7E"/>
    <w:rsid w:val="00663A3E"/>
    <w:rsid w:val="006F0709"/>
    <w:rsid w:val="00765301"/>
    <w:rsid w:val="007B7F27"/>
    <w:rsid w:val="00802C39"/>
    <w:rsid w:val="008D4D8E"/>
    <w:rsid w:val="008D5352"/>
    <w:rsid w:val="008E6A9E"/>
    <w:rsid w:val="008F0DFD"/>
    <w:rsid w:val="00901317"/>
    <w:rsid w:val="00951F02"/>
    <w:rsid w:val="009C235D"/>
    <w:rsid w:val="009C73DB"/>
    <w:rsid w:val="009D22EA"/>
    <w:rsid w:val="009E4D0A"/>
    <w:rsid w:val="00A12CD7"/>
    <w:rsid w:val="00A27784"/>
    <w:rsid w:val="00A91D6B"/>
    <w:rsid w:val="00AA2A27"/>
    <w:rsid w:val="00B119BC"/>
    <w:rsid w:val="00B52F5F"/>
    <w:rsid w:val="00B92DCE"/>
    <w:rsid w:val="00C428BE"/>
    <w:rsid w:val="00C43B7E"/>
    <w:rsid w:val="00CC092C"/>
    <w:rsid w:val="00CF01F0"/>
    <w:rsid w:val="00DB2CD4"/>
    <w:rsid w:val="00F576A7"/>
    <w:rsid w:val="00F86A6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C789B6"/>
  <w15:chartTrackingRefBased/>
  <w15:docId w15:val="{48888F28-34A5-4013-8FB8-074775FCD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CD7"/>
    <w:rPr>
      <w:rFonts w:ascii="Garamond" w:hAnsi="Garamond"/>
      <w:sz w:val="24"/>
    </w:rPr>
  </w:style>
  <w:style w:type="paragraph" w:styleId="Ttulo1">
    <w:name w:val="heading 1"/>
    <w:basedOn w:val="Normal"/>
    <w:next w:val="Textoindependiente"/>
    <w:link w:val="Ttulo1Car"/>
    <w:autoRedefine/>
    <w:uiPriority w:val="9"/>
    <w:qFormat/>
    <w:rsid w:val="003018F1"/>
    <w:pPr>
      <w:keepNext/>
      <w:keepLines/>
      <w:pageBreakBefore/>
      <w:spacing w:before="480" w:after="0" w:line="240" w:lineRule="auto"/>
      <w:outlineLvl w:val="0"/>
    </w:pPr>
    <w:rPr>
      <w:rFonts w:ascii="Arial" w:eastAsiaTheme="majorEastAsia" w:hAnsi="Arial" w:cstheme="majorBidi"/>
      <w:b/>
      <w:bCs/>
      <w:sz w:val="32"/>
      <w:szCs w:val="32"/>
      <w:lang w:val="es"/>
    </w:rPr>
  </w:style>
  <w:style w:type="paragraph" w:styleId="Ttulo2">
    <w:name w:val="heading 2"/>
    <w:basedOn w:val="Normal"/>
    <w:next w:val="Normal"/>
    <w:link w:val="Ttulo2Car"/>
    <w:uiPriority w:val="9"/>
    <w:unhideWhenUsed/>
    <w:qFormat/>
    <w:rsid w:val="001C4C36"/>
    <w:pPr>
      <w:keepNext/>
      <w:keepLines/>
      <w:spacing w:before="520" w:after="48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237D58"/>
    <w:pPr>
      <w:keepNext/>
      <w:keepLines/>
      <w:spacing w:before="520" w:after="480"/>
      <w:outlineLvl w:val="2"/>
    </w:pPr>
    <w:rPr>
      <w:rFonts w:eastAsiaTheme="majorEastAsia" w:cstheme="majorBidi"/>
      <w:b/>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018F1"/>
    <w:rPr>
      <w:rFonts w:ascii="Arial" w:eastAsiaTheme="majorEastAsia" w:hAnsi="Arial" w:cstheme="majorBidi"/>
      <w:b/>
      <w:bCs/>
      <w:sz w:val="32"/>
      <w:szCs w:val="32"/>
      <w:lang w:val="es"/>
    </w:rPr>
  </w:style>
  <w:style w:type="paragraph" w:styleId="Textoindependiente">
    <w:name w:val="Body Text"/>
    <w:basedOn w:val="Normal"/>
    <w:link w:val="TextoindependienteCar"/>
    <w:uiPriority w:val="99"/>
    <w:semiHidden/>
    <w:unhideWhenUsed/>
    <w:rsid w:val="003018F1"/>
    <w:pPr>
      <w:spacing w:after="120"/>
    </w:pPr>
  </w:style>
  <w:style w:type="character" w:customStyle="1" w:styleId="TextoindependienteCar">
    <w:name w:val="Texto independiente Car"/>
    <w:basedOn w:val="Fuentedeprrafopredeter"/>
    <w:link w:val="Textoindependiente"/>
    <w:uiPriority w:val="99"/>
    <w:semiHidden/>
    <w:rsid w:val="003018F1"/>
  </w:style>
  <w:style w:type="paragraph" w:styleId="TDC1">
    <w:name w:val="toc 1"/>
    <w:hidden/>
    <w:uiPriority w:val="39"/>
    <w:rsid w:val="009C73DB"/>
    <w:pPr>
      <w:spacing w:after="201" w:line="265" w:lineRule="auto"/>
      <w:ind w:left="25" w:right="23" w:hanging="10"/>
      <w:jc w:val="both"/>
    </w:pPr>
    <w:rPr>
      <w:rFonts w:ascii="Calibri" w:eastAsia="Calibri" w:hAnsi="Calibri" w:cs="Calibri"/>
      <w:color w:val="000000"/>
      <w:sz w:val="24"/>
      <w:lang w:eastAsia="es-CL"/>
    </w:rPr>
  </w:style>
  <w:style w:type="character" w:styleId="Hipervnculo">
    <w:name w:val="Hyperlink"/>
    <w:basedOn w:val="Fuentedeprrafopredeter"/>
    <w:uiPriority w:val="99"/>
    <w:unhideWhenUsed/>
    <w:rsid w:val="009C73DB"/>
    <w:rPr>
      <w:color w:val="0563C1" w:themeColor="hyperlink"/>
      <w:u w:val="single"/>
    </w:rPr>
  </w:style>
  <w:style w:type="table" w:styleId="Tablaconcuadrcula">
    <w:name w:val="Table Grid"/>
    <w:basedOn w:val="Tablanormal"/>
    <w:uiPriority w:val="39"/>
    <w:rsid w:val="00A91D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1C4C36"/>
    <w:rPr>
      <w:rFonts w:ascii="Garamond" w:eastAsiaTheme="majorEastAsia" w:hAnsi="Garamond" w:cstheme="majorBidi"/>
      <w:b/>
      <w:sz w:val="28"/>
      <w:szCs w:val="26"/>
    </w:rPr>
  </w:style>
  <w:style w:type="character" w:customStyle="1" w:styleId="Ttulo3Car">
    <w:name w:val="Título 3 Car"/>
    <w:basedOn w:val="Fuentedeprrafopredeter"/>
    <w:link w:val="Ttulo3"/>
    <w:uiPriority w:val="9"/>
    <w:rsid w:val="00237D58"/>
    <w:rPr>
      <w:rFonts w:ascii="Garamond" w:eastAsiaTheme="majorEastAsia" w:hAnsi="Garamond" w:cstheme="majorBidi"/>
      <w:b/>
      <w:sz w:val="24"/>
      <w:szCs w:val="24"/>
    </w:rPr>
  </w:style>
  <w:style w:type="paragraph" w:styleId="Prrafodelista">
    <w:name w:val="List Paragraph"/>
    <w:basedOn w:val="Normal"/>
    <w:uiPriority w:val="34"/>
    <w:qFormat/>
    <w:rsid w:val="00566A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E5B63F3B-5295-476A-86B3-66824D1DE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7</Pages>
  <Words>2551</Words>
  <Characters>14036</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Carrasco</dc:creator>
  <cp:keywords/>
  <dc:description/>
  <cp:lastModifiedBy>Mauricio Carrasco</cp:lastModifiedBy>
  <cp:revision>3</cp:revision>
  <dcterms:created xsi:type="dcterms:W3CDTF">2022-11-02T19:10:00Z</dcterms:created>
  <dcterms:modified xsi:type="dcterms:W3CDTF">2022-11-02T20:18:00Z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http://www.zotero.org/styles/apa</vt:lpwstr>
  </property>
  <property fmtid="{D5CDD505-2E9C-101B-9397-08002B2CF9AE}" pid="23" name="Mendeley Document_1">
    <vt:lpwstr>True</vt:lpwstr>
  </property>
  <property fmtid="{D5CDD505-2E9C-101B-9397-08002B2CF9AE}" pid="24" name="Mendeley Unique User Id_1">
    <vt:lpwstr>6781e0ea-0468-3148-9194-e3f0aeb47aa4</vt:lpwstr>
  </property>
</Properties>
</file>