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bjetivos-de-investigación"/>
    <w:p>
      <w:pPr>
        <w:pStyle w:val="Ttulo1"/>
      </w:pPr>
      <w:r>
        <w:t xml:space="preserve">OBJETIVOS DE INVESTIGACIÓN</w:t>
      </w:r>
    </w:p>
    <w:p>
      <w:pPr>
        <w:pStyle w:val="FirstParagraph"/>
      </w:pPr>
      <w:r>
        <w:t xml:space="preserve">En el capítulo anterior, se planteó un diseño de investigación enfocado en desarrollar un marco analítico riguroso para evaluar la contribución de los mecanismos de justicia transicional a la democracia y la protección de los derechos humanos en América Latina y el Caribe. Esta propuesta busca superar las inconsistencias y limitaciones encontradas en la literatura previa sobre el tema. Para lograrlo, se propone la selección de indicadores adecuados, la consideración de las diferencias contextuales y de modalidades de represión, y la exploración del impacto de estos mecanismos en la prevención de golpes de Estado y la protección de los derechos de integridad física de las personas.</w:t>
      </w:r>
    </w:p>
    <w:p>
      <w:pPr>
        <w:pStyle w:val="Textoindependiente"/>
      </w:pPr>
      <w:r>
        <w:t xml:space="preserve">En este capítulo, se establece que el objetivo principal de la tesis es evaluar la contribución de los mecanismos de justicia transicional a la prevención de golpes de estado y la protección de los derechos humanos en los países de América Latina y el Caribe que experimentaron transiciones democráticas entre los años 1970 y 2010. Los objetivos específicos son:</w:t>
      </w:r>
    </w:p>
    <w:p>
      <w:pPr>
        <w:numPr>
          <w:ilvl w:val="0"/>
          <w:numId w:val="1001"/>
        </w:numPr>
        <w:pStyle w:val="Compact"/>
      </w:pPr>
      <w:r>
        <w:t xml:space="preserve">Analizar la contribución de los enjuiciamientos, amnistías y comisiones de la verdad</w:t>
      </w:r>
      <w:r>
        <w:t xml:space="preserve"> </w:t>
      </w:r>
      <w:r>
        <w:t xml:space="preserve">a la prevención de golpes de estado en los países de América Latina y el Caribe durante los años posteriores a la primera transición democrática experimentada en el periodo 1970-2010.</w:t>
      </w:r>
    </w:p>
    <w:p>
      <w:pPr>
        <w:numPr>
          <w:ilvl w:val="0"/>
          <w:numId w:val="1001"/>
        </w:numPr>
        <w:pStyle w:val="Compact"/>
      </w:pPr>
      <w:r>
        <w:t xml:space="preserve">Analizar la contribución de los enjuiciamientos, amnistías y comisiones de la verdad a la protección de los derechos humanos de integridad física en los países de América Latina durante los años posteriores a la primera transición democrática experimentada en el periodo 1970-2010.</w:t>
      </w:r>
    </w:p>
    <w:p>
      <w:pPr>
        <w:pStyle w:val="FirstParagraph"/>
      </w:pPr>
      <w:r>
        <w:t xml:space="preserve">Los objetivos formulados se limitan al periodo 1970-2010, porque los datos disponibles sobre enjuiciamientos, setencias, amnistías y comisiones de la verdad por violaciones a los derechos humanos en los países sólo han sido sistematizados a nivel regional para este periodo en los proyectos académicos anteriores</w:t>
      </w:r>
      <w:r>
        <w:t xml:space="preserve"> </w:t>
      </w:r>
      <w:r>
        <w:t xml:space="preserve">(Dancy et al., 2019; Dancy &amp; Thoms, 2022)</w:t>
      </w:r>
      <w:r>
        <w:t xml:space="preserve">. Esto significa que el análisis propuesto en la tesis no puede abordar eventos más recientes o futuros de justicia trasicional y por tanto, su vínculo con la prevención de golpes de estado y la protección de los derechos humanos en periodos posteriores. Sin embargo, los datos disponibles aún son útiles para analizar sociológicamente la contribución histórica de la justicia transicional en la región.</w:t>
      </w:r>
    </w:p>
    <w:bookmarkStart w:id="24" w:name="refs"/>
    <w:bookmarkStart w:id="21" w:name="ref-Dancy2019"/>
    <w:p>
      <w:pPr>
        <w:pStyle w:val="Bibliografa"/>
      </w:pPr>
      <w:r>
        <w:t xml:space="preserve">Dancy, G., Marchesi, B. E., Olsen, T. D., Payne, L. A., Reiter, A. G., &amp; Sikkink, K. (2019).</w:t>
      </w:r>
      <w:r>
        <w:t xml:space="preserve"> </w:t>
      </w:r>
      <w:r>
        <w:t xml:space="preserve">Behind Bars and Bargains: New Findings on Transitional Justice in Emerging Democracies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63</w:t>
      </w:r>
      <w:r>
        <w:t xml:space="preserve">(1), 99-110.</w:t>
      </w:r>
      <w:r>
        <w:t xml:space="preserve"> </w:t>
      </w:r>
      <w:hyperlink r:id="rId20">
        <w:r>
          <w:rPr>
            <w:rStyle w:val="Hipervnculo"/>
          </w:rPr>
          <w:t xml:space="preserve">https://doi.org/10.1093/isq/sqy053</w:t>
        </w:r>
      </w:hyperlink>
    </w:p>
    <w:bookmarkEnd w:id="21"/>
    <w:bookmarkStart w:id="23" w:name="ref-Dancy2022"/>
    <w:p>
      <w:pPr>
        <w:pStyle w:val="Bibliografa"/>
      </w:pPr>
      <w:r>
        <w:t xml:space="preserve">Dancy, G., &amp; Thoms, O. T. (2022).</w:t>
      </w:r>
      <w:r>
        <w:t xml:space="preserve"> </w:t>
      </w:r>
      <w:r>
        <w:t xml:space="preserve">Do Truth Commissions Really Improve Democracy?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,</w:t>
      </w:r>
      <w:r>
        <w:t xml:space="preserve"> </w:t>
      </w:r>
      <w:r>
        <w:rPr>
          <w:iCs/>
          <w:i/>
        </w:rPr>
        <w:t xml:space="preserve">55</w:t>
      </w:r>
      <w:r>
        <w:t xml:space="preserve">(4), 555-587.</w:t>
      </w:r>
      <w:r>
        <w:t xml:space="preserve"> </w:t>
      </w:r>
      <w:hyperlink r:id="rId22">
        <w:r>
          <w:rPr>
            <w:rStyle w:val="Hipervnculo"/>
          </w:rPr>
          <w:t xml:space="preserve">https://doi.org/10.1177/00104140211024305</w:t>
        </w:r>
      </w:hyperlink>
    </w:p>
    <w:bookmarkEnd w:id="23"/>
    <w:bookmarkEnd w:id="24"/>
    <w:bookmarkEnd w:id="25"/>
    <w:sectPr w:rsidR="00D076DD" w:rsidRPr="00054DA3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2069A5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EE8CD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52BE9FC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7C4E2C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8368D6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E1E04F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EB6E34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8C3E3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74EBB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25C84E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86EB8C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5BD0A78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16cid:durableId="1778795377" w:numId="1">
    <w:abstractNumId w:val="10"/>
  </w:num>
  <w:num w16cid:durableId="1560283652" w:numId="2">
    <w:abstractNumId w:val="11"/>
  </w:num>
  <w:num w16cid:durableId="279798275" w:numId="3">
    <w:abstractNumId w:val="8"/>
  </w:num>
  <w:num w16cid:durableId="2022199561" w:numId="4">
    <w:abstractNumId w:val="3"/>
  </w:num>
  <w:num w16cid:durableId="1862552627" w:numId="5">
    <w:abstractNumId w:val="2"/>
  </w:num>
  <w:num w16cid:durableId="7147209" w:numId="6">
    <w:abstractNumId w:val="1"/>
  </w:num>
  <w:num w16cid:durableId="2114082332" w:numId="7">
    <w:abstractNumId w:val="0"/>
  </w:num>
  <w:num w16cid:durableId="1891072839" w:numId="8">
    <w:abstractNumId w:val="9"/>
  </w:num>
  <w:num w16cid:durableId="1818182819" w:numId="9">
    <w:abstractNumId w:val="7"/>
  </w:num>
  <w:num w16cid:durableId="854152134" w:numId="10">
    <w:abstractNumId w:val="6"/>
  </w:num>
  <w:num w16cid:durableId="984119541" w:numId="11">
    <w:abstractNumId w:val="5"/>
  </w:num>
  <w:num w16cid:durableId="922908225" w:numId="12">
    <w:abstractNumId w:val="4"/>
  </w:num>
  <w:num w16cid:durableId="413625668" w:numId="13">
    <w:abstractNumId w:val="10"/>
  </w:num>
  <w:num w16cid:durableId="1251937478" w:numId="14">
    <w:abstractNumId w:val="11"/>
  </w:num>
  <w:num w16cid:durableId="2036811075" w:numId="15">
    <w:abstractNumId w:val="10"/>
  </w:num>
  <w:num w16cid:durableId="742024086" w:numId="16">
    <w:abstractNumId w:val="11"/>
  </w:num>
  <w:num w16cid:durableId="2004116020" w:numId="17">
    <w:abstractNumId w:val="11"/>
  </w:num>
  <w:num w16cid:durableId="1146973338" w:numId="18">
    <w:abstractNumId w:val="11"/>
  </w:num>
  <w:num w16cid:durableId="819006716" w:numId="19">
    <w:abstractNumId w:val="11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before="4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54DA3"/>
    <w:pPr>
      <w:jc w:val="both"/>
    </w:pPr>
    <w:rPr>
      <w:rFonts w:ascii="Garamond" w:hAnsi="Garamond"/>
    </w:rPr>
  </w:style>
  <w:style w:styleId="Ttulo1" w:type="paragraph">
    <w:name w:val="heading 1"/>
    <w:basedOn w:val="Normal"/>
    <w:next w:val="Textoindependiente"/>
    <w:uiPriority w:val="9"/>
    <w:qFormat/>
    <w:rsid w:val="00A555A3"/>
    <w:pPr>
      <w:keepNext/>
      <w:keepLines/>
      <w:pageBreakBefore/>
      <w:spacing w:after="480" w:before="960" w:line="480" w:lineRule="auto"/>
      <w:jc w:val="center"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671BBF"/>
    <w:pPr>
      <w:keepNext/>
      <w:keepLines/>
      <w:spacing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671BBF"/>
    <w:pPr>
      <w:keepNext/>
      <w:keepLines/>
      <w:spacing w:before="200"/>
      <w:outlineLvl w:val="2"/>
    </w:pPr>
    <w:rPr>
      <w:rFonts w:cstheme="majorBidi" w:eastAsiaTheme="majorEastAsia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rsid w:val="00671BBF"/>
    <w:pPr>
      <w:keepNext/>
      <w:keepLines/>
      <w:spacing w:before="200"/>
      <w:outlineLvl w:val="3"/>
    </w:pPr>
    <w:rPr>
      <w:rFonts w:cstheme="majorBidi" w:eastAsiaTheme="majorEastAsia"/>
      <w:b/>
      <w:bCs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rsid w:val="00671BBF"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  <w:rsid w:val="003B760E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4A4FF7"/>
    <w:pPr>
      <w:keepNext/>
      <w:keepLines/>
      <w:spacing w:after="24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rsid w:val="004A4FF7"/>
    <w:pPr>
      <w:spacing w:before="240" w:line="480" w:lineRule="auto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3B760E"/>
    <w:pPr>
      <w:keepNext/>
      <w:keepLines/>
      <w:spacing w:after="320" w:before="120" w:line="480" w:lineRule="auto"/>
      <w:jc w:val="center"/>
    </w:pPr>
    <w:rPr>
      <w:rFonts w:ascii="Garamond" w:hAnsi="Garamond"/>
    </w:rPr>
  </w:style>
  <w:style w:styleId="Fecha" w:type="paragraph">
    <w:name w:val="Date"/>
    <w:next w:val="Textoindependiente"/>
    <w:qFormat/>
    <w:rsid w:val="003B760E"/>
    <w:pPr>
      <w:keepNext/>
      <w:keepLines/>
      <w:spacing w:after="320" w:before="120" w:line="480" w:lineRule="auto"/>
      <w:jc w:val="center"/>
    </w:pPr>
    <w:rPr>
      <w:rFonts w:ascii="Garamond" w:hAnsi="Garamond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402AB8"/>
    <w:pPr>
      <w:spacing w:before="120" w:line="240" w:lineRule="auto"/>
      <w:ind w:hanging="720" w:left="720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Textonotaalfinal"/>
    <w:next w:val="Textonotaalfinal"/>
    <w:uiPriority w:val="9"/>
    <w:unhideWhenUsed/>
    <w:qFormat/>
    <w:rsid w:val="00754F32"/>
    <w:pPr>
      <w:jc w:val="left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rsid w:val="0090280D"/>
    <w:pPr>
      <w:keepNext/>
      <w:jc w:val="center"/>
    </w:pPr>
    <w:rPr>
      <w:i w:val="0"/>
    </w:rPr>
  </w:style>
  <w:style w:customStyle="1" w:styleId="ImageCaption" w:type="paragraph">
    <w:name w:val="Image Caption"/>
    <w:basedOn w:val="Descripcin"/>
    <w:rsid w:val="0090280D"/>
    <w:pPr>
      <w:jc w:val="center"/>
    </w:pPr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Hipervnculointeligente"/>
    <w:uiPriority w:val="99"/>
    <w:rsid w:val="00054DA3"/>
    <w:rPr>
      <w:u w:val="dotted"/>
    </w:rPr>
  </w:style>
  <w:style w:styleId="TtuloTDC" w:type="paragraph">
    <w:name w:val="TOC Heading"/>
    <w:basedOn w:val="Ttulo1"/>
    <w:next w:val="Textoindependiente"/>
    <w:uiPriority w:val="39"/>
    <w:unhideWhenUsed/>
    <w:qFormat/>
    <w:rsid w:val="004A4FF7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DC1" w:type="paragraph">
    <w:name w:val="toc 1"/>
    <w:basedOn w:val="Normal"/>
    <w:next w:val="Normal"/>
    <w:autoRedefine/>
    <w:uiPriority w:val="39"/>
    <w:unhideWhenUsed/>
    <w:rsid w:val="004A4FF7"/>
    <w:pPr>
      <w:spacing w:after="100"/>
    </w:pPr>
  </w:style>
  <w:style w:styleId="TDC2" w:type="paragraph">
    <w:name w:val="toc 2"/>
    <w:basedOn w:val="Normal"/>
    <w:next w:val="Normal"/>
    <w:autoRedefine/>
    <w:uiPriority w:val="39"/>
    <w:unhideWhenUsed/>
    <w:rsid w:val="004A4FF7"/>
    <w:pPr>
      <w:spacing w:after="100"/>
      <w:ind w:left="240"/>
    </w:pPr>
  </w:style>
  <w:style w:styleId="TDC3" w:type="paragraph">
    <w:name w:val="toc 3"/>
    <w:basedOn w:val="Normal"/>
    <w:next w:val="Normal"/>
    <w:autoRedefine/>
    <w:uiPriority w:val="39"/>
    <w:unhideWhenUsed/>
    <w:rsid w:val="004A4FF7"/>
    <w:pPr>
      <w:spacing w:after="100"/>
      <w:ind w:left="480"/>
    </w:pPr>
  </w:style>
  <w:style w:customStyle="1" w:styleId="TextoindependienteCar" w:type="character">
    <w:name w:val="Texto independiente Car"/>
    <w:basedOn w:val="Fuentedeprrafopredeter"/>
    <w:link w:val="Textoindependiente"/>
    <w:rsid w:val="00671BBF"/>
    <w:rPr>
      <w:rFonts w:ascii="Garamond" w:hAnsi="Garamond"/>
    </w:rPr>
  </w:style>
  <w:style w:styleId="Hipervnculointeligente" w:type="character">
    <w:name w:val="Smart Hyperlink"/>
    <w:basedOn w:val="Fuentedeprrafopredeter"/>
    <w:uiPriority w:val="99"/>
    <w:unhideWhenUsed/>
    <w:rsid w:val="00054DA3"/>
    <w:rPr>
      <w:u w:val="dotted"/>
    </w:rPr>
  </w:style>
  <w:style w:styleId="Textonotaalfinal" w:type="paragraph">
    <w:name w:val="endnote text"/>
    <w:basedOn w:val="Normal"/>
    <w:link w:val="TextonotaalfinalCar"/>
    <w:semiHidden/>
    <w:unhideWhenUsed/>
    <w:rsid w:val="00340C3F"/>
    <w:pPr>
      <w:spacing w:before="0" w:line="240" w:lineRule="auto"/>
    </w:pPr>
    <w:rPr>
      <w:sz w:val="20"/>
      <w:szCs w:val="20"/>
    </w:rPr>
  </w:style>
  <w:style w:customStyle="1" w:styleId="TextonotaalfinalCar" w:type="character">
    <w:name w:val="Texto nota al final Car"/>
    <w:basedOn w:val="Fuentedeprrafopredeter"/>
    <w:link w:val="Textonotaalfinal"/>
    <w:semiHidden/>
    <w:rsid w:val="00340C3F"/>
    <w:rPr>
      <w:rFonts w:ascii="Garamond" w:hAnsi="Garamon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isq/sqy053" TargetMode="External" /><Relationship Type="http://schemas.openxmlformats.org/officeDocument/2006/relationships/hyperlink" Id="rId22" Target="https://doi.org/10.1177/001041402110243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isq/sqy053" TargetMode="External" /><Relationship Type="http://schemas.openxmlformats.org/officeDocument/2006/relationships/hyperlink" Id="rId22" Target="https://doi.org/10.1177/001041402110243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35</Pages>
  <Words>12174</Words>
  <Characters>66961</Characters>
  <Application>Microsoft Office Word</Application>
  <DocSecurity>0</DocSecurity>
  <Lines>558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FACULTAD DE CIENCIAS SOCIALES DEPARTAMENTO DE SOCIOLOGÍA MAGISTER EN SOCIOLOGÍA   ¿GARANTÍAS DE NO REPETICIÓN? JUSTICIA TRANSICIONAL Y VIOLACIONES A LOS DERECHOS HUMANOS EN LAS DEMOCRACIAS POST AUTORITARIAS (1970 - 2011) </vt:lpstr>
    </vt:vector>
  </TitlesOfParts>
  <Company/>
  <LinksUpToDate>false</LinksUpToDate>
  <CharactersWithSpaces>78978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2023-12-26T20:13:23Z</dcterms:created>
  <dcterms:modified xsi:type="dcterms:W3CDTF">2023-12-26T20:13:23Z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bibliografia.bib</vt:lpwstr>
  </property>
  <property fmtid="{D5CDD505-2E9C-101B-9397-08002B2CF9AE}" pid="3" name="csl">
    <vt:lpwstr>apa.csl</vt:lpwstr>
  </property>
  <property fmtid="{D5CDD505-2E9C-101B-9397-08002B2CF9AE}" pid="4" name="output">
    <vt:lpwstr/>
  </property>
  <property fmtid="{D5CDD505-2E9C-101B-9397-08002B2CF9AE}" pid="5" name="toc-title">
    <vt:lpwstr>Tabla de contenido</vt:lpwstr>
  </property>
</Properties>
</file>