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CBA1F" w14:textId="77777777" w:rsidR="002202CF" w:rsidRPr="008C5B2E" w:rsidRDefault="00000000">
      <w:pPr>
        <w:pStyle w:val="Ttulo"/>
        <w:rPr>
          <w:rFonts w:cs="Arial"/>
        </w:rPr>
      </w:pPr>
      <w:r w:rsidRPr="008C5B2E">
        <w:rPr>
          <w:rFonts w:cs="Arial"/>
          <w:noProof/>
        </w:rPr>
        <w:drawing>
          <wp:inline distT="0" distB="0" distL="0" distR="0" wp14:anchorId="2930BD8C" wp14:editId="4DE45C0E">
            <wp:extent cx="5486400" cy="97584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ogo.png"/>
                    <pic:cNvPicPr>
                      <a:picLocks noChangeAspect="1" noChangeArrowheads="1"/>
                    </pic:cNvPicPr>
                  </pic:nvPicPr>
                  <pic:blipFill>
                    <a:blip r:embed="rId7"/>
                    <a:stretch>
                      <a:fillRect/>
                    </a:stretch>
                  </pic:blipFill>
                  <pic:spPr bwMode="auto">
                    <a:xfrm>
                      <a:off x="0" y="0"/>
                      <a:ext cx="5486400" cy="975841"/>
                    </a:xfrm>
                    <a:prstGeom prst="rect">
                      <a:avLst/>
                    </a:prstGeom>
                    <a:noFill/>
                    <a:ln w="9525">
                      <a:noFill/>
                      <a:headEnd/>
                      <a:tailEnd/>
                    </a:ln>
                  </pic:spPr>
                </pic:pic>
              </a:graphicData>
            </a:graphic>
          </wp:inline>
        </w:drawing>
      </w:r>
      <w:r w:rsidRPr="008C5B2E">
        <w:rPr>
          <w:rFonts w:cs="Arial"/>
        </w:rPr>
        <w:br/>
      </w:r>
      <w:r w:rsidRPr="008C5B2E">
        <w:rPr>
          <w:rFonts w:cs="Arial"/>
        </w:rPr>
        <w:br/>
        <w:t>¿GARANTÍAS DE NO REPETICIÓN?</w:t>
      </w:r>
      <w:r w:rsidRPr="008C5B2E">
        <w:rPr>
          <w:rFonts w:cs="Arial"/>
        </w:rPr>
        <w:br/>
        <w:t>JUSTICIA TRANSICIONAL Y VIOLACIONES A LOS DERECHOS HUMANOS EN LAS DEMOCRACIAS POST AUTORITARIAS</w:t>
      </w:r>
      <w:r w:rsidRPr="008C5B2E">
        <w:rPr>
          <w:rFonts w:cs="Arial"/>
        </w:rPr>
        <w:br/>
        <w:t>(1970 - 2011)</w:t>
      </w:r>
    </w:p>
    <w:p w14:paraId="014CFC93" w14:textId="77777777" w:rsidR="002202CF" w:rsidRPr="008C5B2E" w:rsidRDefault="00000000">
      <w:pPr>
        <w:pStyle w:val="Subttulo"/>
        <w:rPr>
          <w:rFonts w:cs="Arial"/>
        </w:rPr>
      </w:pPr>
      <w:r w:rsidRPr="008C5B2E">
        <w:rPr>
          <w:rFonts w:cs="Arial"/>
        </w:rPr>
        <w:t>Tesis para optar al grado de Magister en Sociología</w:t>
      </w:r>
    </w:p>
    <w:p w14:paraId="0182478E" w14:textId="77777777" w:rsidR="002202CF" w:rsidRPr="008C5B2E" w:rsidRDefault="00000000">
      <w:pPr>
        <w:pStyle w:val="Author"/>
        <w:rPr>
          <w:rFonts w:cs="Arial"/>
        </w:rPr>
      </w:pPr>
      <w:r w:rsidRPr="008C5B2E">
        <w:rPr>
          <w:rFonts w:cs="Arial"/>
        </w:rPr>
        <w:t>Autor: Mauricio Carrasco Núñez</w:t>
      </w:r>
    </w:p>
    <w:p w14:paraId="7DFFD63E" w14:textId="77777777" w:rsidR="002202CF" w:rsidRPr="008C5B2E" w:rsidRDefault="00000000">
      <w:pPr>
        <w:pStyle w:val="Author"/>
        <w:rPr>
          <w:rFonts w:cs="Arial"/>
        </w:rPr>
      </w:pPr>
      <w:r w:rsidRPr="008C5B2E">
        <w:rPr>
          <w:rFonts w:cs="Arial"/>
        </w:rPr>
        <w:t>Directora: Dra. Oriana Bernasconi Ramírez</w:t>
      </w:r>
    </w:p>
    <w:p w14:paraId="5ACB150C" w14:textId="77777777" w:rsidR="002202CF" w:rsidRPr="008C5B2E" w:rsidRDefault="00000000">
      <w:pPr>
        <w:pStyle w:val="Author"/>
        <w:rPr>
          <w:rFonts w:cs="Arial"/>
        </w:rPr>
      </w:pPr>
      <w:r w:rsidRPr="008C5B2E">
        <w:rPr>
          <w:rFonts w:cs="Arial"/>
        </w:rPr>
        <w:t>Co-Directora: Dra. Julieta Palma Palma</w:t>
      </w:r>
    </w:p>
    <w:p w14:paraId="3BF35D14" w14:textId="77777777" w:rsidR="002202CF" w:rsidRPr="008C5B2E" w:rsidRDefault="00000000">
      <w:pPr>
        <w:pStyle w:val="Fecha"/>
        <w:rPr>
          <w:rFonts w:cs="Arial"/>
        </w:rPr>
      </w:pPr>
      <w:r w:rsidRPr="008C5B2E">
        <w:rPr>
          <w:rFonts w:cs="Arial"/>
        </w:rPr>
        <w:t>Santiago, 19 de agosto de 2022</w:t>
      </w:r>
    </w:p>
    <w:sdt>
      <w:sdtPr>
        <w:rPr>
          <w:rFonts w:eastAsiaTheme="minorHAnsi" w:cstheme="minorBidi"/>
          <w:b w:val="0"/>
          <w:bCs w:val="0"/>
          <w:sz w:val="24"/>
          <w:szCs w:val="24"/>
        </w:rPr>
        <w:id w:val="-378704121"/>
        <w:docPartObj>
          <w:docPartGallery w:val="Table of Contents"/>
          <w:docPartUnique/>
        </w:docPartObj>
      </w:sdtPr>
      <w:sdtEndPr>
        <w:rPr>
          <w:rFonts w:cs="Arial"/>
        </w:rPr>
      </w:sdtEndPr>
      <w:sdtContent>
        <w:p w14:paraId="02469B71" w14:textId="6CC18AF0" w:rsidR="002202CF" w:rsidRDefault="00000000" w:rsidP="008C5B2E">
          <w:pPr>
            <w:pStyle w:val="Ttulo1"/>
          </w:pPr>
          <w:r w:rsidRPr="008C5B2E">
            <w:t>Tabla de contenido</w:t>
          </w:r>
        </w:p>
        <w:p w14:paraId="69C5E2FD" w14:textId="77777777" w:rsidR="008C5B2E" w:rsidRPr="008C5B2E" w:rsidRDefault="00000000">
          <w:pPr>
            <w:pStyle w:val="TDC1"/>
            <w:tabs>
              <w:tab w:val="right" w:leader="dot" w:pos="8828"/>
            </w:tabs>
            <w:rPr>
              <w:rFonts w:cs="Arial"/>
              <w:noProof/>
            </w:rPr>
          </w:pPr>
          <w:r w:rsidRPr="008C5B2E">
            <w:rPr>
              <w:rFonts w:cs="Arial"/>
            </w:rPr>
            <w:fldChar w:fldCharType="begin"/>
          </w:r>
          <w:r w:rsidRPr="008C5B2E">
            <w:rPr>
              <w:rFonts w:cs="Arial"/>
            </w:rPr>
            <w:instrText>TOC \o "1-3" \h \z \u</w:instrText>
          </w:r>
          <w:r w:rsidRPr="008C5B2E">
            <w:rPr>
              <w:rFonts w:cs="Arial"/>
            </w:rPr>
            <w:fldChar w:fldCharType="separate"/>
          </w:r>
          <w:hyperlink w:anchor="_Toc112536820" w:history="1">
            <w:r w:rsidR="008C5B2E" w:rsidRPr="008C5B2E">
              <w:rPr>
                <w:rStyle w:val="Hipervnculo"/>
                <w:rFonts w:cs="Arial"/>
                <w:noProof/>
              </w:rPr>
              <w:t>III. Metodología</w:t>
            </w:r>
            <w:r w:rsidR="008C5B2E" w:rsidRPr="008C5B2E">
              <w:rPr>
                <w:rFonts w:cs="Arial"/>
                <w:noProof/>
                <w:webHidden/>
              </w:rPr>
              <w:tab/>
            </w:r>
            <w:r w:rsidR="008C5B2E" w:rsidRPr="008C5B2E">
              <w:rPr>
                <w:rFonts w:cs="Arial"/>
                <w:noProof/>
                <w:webHidden/>
              </w:rPr>
              <w:fldChar w:fldCharType="begin"/>
            </w:r>
            <w:r w:rsidR="008C5B2E" w:rsidRPr="008C5B2E">
              <w:rPr>
                <w:rFonts w:cs="Arial"/>
                <w:noProof/>
                <w:webHidden/>
              </w:rPr>
              <w:instrText xml:space="preserve"> PAGEREF _Toc112536820 \h </w:instrText>
            </w:r>
            <w:r w:rsidR="008C5B2E" w:rsidRPr="008C5B2E">
              <w:rPr>
                <w:rFonts w:cs="Arial"/>
                <w:noProof/>
                <w:webHidden/>
              </w:rPr>
            </w:r>
            <w:r w:rsidR="008C5B2E" w:rsidRPr="008C5B2E">
              <w:rPr>
                <w:rFonts w:cs="Arial"/>
                <w:noProof/>
                <w:webHidden/>
              </w:rPr>
              <w:fldChar w:fldCharType="separate"/>
            </w:r>
            <w:r w:rsidR="008C5B2E" w:rsidRPr="008C5B2E">
              <w:rPr>
                <w:rFonts w:cs="Arial"/>
                <w:noProof/>
                <w:webHidden/>
              </w:rPr>
              <w:t>3</w:t>
            </w:r>
            <w:r w:rsidR="008C5B2E" w:rsidRPr="008C5B2E">
              <w:rPr>
                <w:rFonts w:cs="Arial"/>
                <w:noProof/>
                <w:webHidden/>
              </w:rPr>
              <w:fldChar w:fldCharType="end"/>
            </w:r>
          </w:hyperlink>
        </w:p>
        <w:p w14:paraId="67A1F2CE" w14:textId="77777777" w:rsidR="008C5B2E" w:rsidRPr="008C5B2E" w:rsidRDefault="00000000">
          <w:pPr>
            <w:pStyle w:val="TDC2"/>
            <w:tabs>
              <w:tab w:val="right" w:leader="dot" w:pos="8828"/>
            </w:tabs>
            <w:rPr>
              <w:rFonts w:cs="Arial"/>
              <w:noProof/>
            </w:rPr>
          </w:pPr>
          <w:hyperlink w:anchor="_Toc112536821" w:history="1">
            <w:r w:rsidR="008C5B2E" w:rsidRPr="008C5B2E">
              <w:rPr>
                <w:rStyle w:val="Hipervnculo"/>
                <w:rFonts w:cs="Arial"/>
                <w:noProof/>
              </w:rPr>
              <w:t>3.1 Tipo de estudio</w:t>
            </w:r>
            <w:r w:rsidR="008C5B2E" w:rsidRPr="008C5B2E">
              <w:rPr>
                <w:rFonts w:cs="Arial"/>
                <w:noProof/>
                <w:webHidden/>
              </w:rPr>
              <w:tab/>
            </w:r>
            <w:r w:rsidR="008C5B2E" w:rsidRPr="008C5B2E">
              <w:rPr>
                <w:rFonts w:cs="Arial"/>
                <w:noProof/>
                <w:webHidden/>
              </w:rPr>
              <w:fldChar w:fldCharType="begin"/>
            </w:r>
            <w:r w:rsidR="008C5B2E" w:rsidRPr="008C5B2E">
              <w:rPr>
                <w:rFonts w:cs="Arial"/>
                <w:noProof/>
                <w:webHidden/>
              </w:rPr>
              <w:instrText xml:space="preserve"> PAGEREF _Toc112536821 \h </w:instrText>
            </w:r>
            <w:r w:rsidR="008C5B2E" w:rsidRPr="008C5B2E">
              <w:rPr>
                <w:rFonts w:cs="Arial"/>
                <w:noProof/>
                <w:webHidden/>
              </w:rPr>
            </w:r>
            <w:r w:rsidR="008C5B2E" w:rsidRPr="008C5B2E">
              <w:rPr>
                <w:rFonts w:cs="Arial"/>
                <w:noProof/>
                <w:webHidden/>
              </w:rPr>
              <w:fldChar w:fldCharType="separate"/>
            </w:r>
            <w:r w:rsidR="008C5B2E" w:rsidRPr="008C5B2E">
              <w:rPr>
                <w:rFonts w:cs="Arial"/>
                <w:noProof/>
                <w:webHidden/>
              </w:rPr>
              <w:t>3</w:t>
            </w:r>
            <w:r w:rsidR="008C5B2E" w:rsidRPr="008C5B2E">
              <w:rPr>
                <w:rFonts w:cs="Arial"/>
                <w:noProof/>
                <w:webHidden/>
              </w:rPr>
              <w:fldChar w:fldCharType="end"/>
            </w:r>
          </w:hyperlink>
        </w:p>
        <w:p w14:paraId="4AECB315" w14:textId="77777777" w:rsidR="008C5B2E" w:rsidRPr="008C5B2E" w:rsidRDefault="00000000">
          <w:pPr>
            <w:pStyle w:val="TDC2"/>
            <w:tabs>
              <w:tab w:val="right" w:leader="dot" w:pos="8828"/>
            </w:tabs>
            <w:rPr>
              <w:rFonts w:cs="Arial"/>
              <w:noProof/>
            </w:rPr>
          </w:pPr>
          <w:hyperlink w:anchor="_Toc112536822" w:history="1">
            <w:r w:rsidR="008C5B2E" w:rsidRPr="008C5B2E">
              <w:rPr>
                <w:rStyle w:val="Hipervnculo"/>
                <w:rFonts w:cs="Arial"/>
                <w:noProof/>
              </w:rPr>
              <w:t>3.2 Datos</w:t>
            </w:r>
            <w:r w:rsidR="008C5B2E" w:rsidRPr="008C5B2E">
              <w:rPr>
                <w:rFonts w:cs="Arial"/>
                <w:noProof/>
                <w:webHidden/>
              </w:rPr>
              <w:tab/>
            </w:r>
            <w:r w:rsidR="008C5B2E" w:rsidRPr="008C5B2E">
              <w:rPr>
                <w:rFonts w:cs="Arial"/>
                <w:noProof/>
                <w:webHidden/>
              </w:rPr>
              <w:fldChar w:fldCharType="begin"/>
            </w:r>
            <w:r w:rsidR="008C5B2E" w:rsidRPr="008C5B2E">
              <w:rPr>
                <w:rFonts w:cs="Arial"/>
                <w:noProof/>
                <w:webHidden/>
              </w:rPr>
              <w:instrText xml:space="preserve"> PAGEREF _Toc112536822 \h </w:instrText>
            </w:r>
            <w:r w:rsidR="008C5B2E" w:rsidRPr="008C5B2E">
              <w:rPr>
                <w:rFonts w:cs="Arial"/>
                <w:noProof/>
                <w:webHidden/>
              </w:rPr>
            </w:r>
            <w:r w:rsidR="008C5B2E" w:rsidRPr="008C5B2E">
              <w:rPr>
                <w:rFonts w:cs="Arial"/>
                <w:noProof/>
                <w:webHidden/>
              </w:rPr>
              <w:fldChar w:fldCharType="separate"/>
            </w:r>
            <w:r w:rsidR="008C5B2E" w:rsidRPr="008C5B2E">
              <w:rPr>
                <w:rFonts w:cs="Arial"/>
                <w:noProof/>
                <w:webHidden/>
              </w:rPr>
              <w:t>3</w:t>
            </w:r>
            <w:r w:rsidR="008C5B2E" w:rsidRPr="008C5B2E">
              <w:rPr>
                <w:rFonts w:cs="Arial"/>
                <w:noProof/>
                <w:webHidden/>
              </w:rPr>
              <w:fldChar w:fldCharType="end"/>
            </w:r>
          </w:hyperlink>
        </w:p>
        <w:p w14:paraId="759F1C32" w14:textId="77777777" w:rsidR="008C5B2E" w:rsidRPr="008C5B2E" w:rsidRDefault="00000000">
          <w:pPr>
            <w:pStyle w:val="TDC2"/>
            <w:tabs>
              <w:tab w:val="right" w:leader="dot" w:pos="8828"/>
            </w:tabs>
            <w:rPr>
              <w:rFonts w:cs="Arial"/>
              <w:noProof/>
            </w:rPr>
          </w:pPr>
          <w:hyperlink w:anchor="_Toc112536823" w:history="1">
            <w:r w:rsidR="008C5B2E" w:rsidRPr="008C5B2E">
              <w:rPr>
                <w:rStyle w:val="Hipervnculo"/>
                <w:rFonts w:cs="Arial"/>
                <w:noProof/>
              </w:rPr>
              <w:t>3.3 Variables</w:t>
            </w:r>
            <w:r w:rsidR="008C5B2E" w:rsidRPr="008C5B2E">
              <w:rPr>
                <w:rFonts w:cs="Arial"/>
                <w:noProof/>
                <w:webHidden/>
              </w:rPr>
              <w:tab/>
            </w:r>
            <w:r w:rsidR="008C5B2E" w:rsidRPr="008C5B2E">
              <w:rPr>
                <w:rFonts w:cs="Arial"/>
                <w:noProof/>
                <w:webHidden/>
              </w:rPr>
              <w:fldChar w:fldCharType="begin"/>
            </w:r>
            <w:r w:rsidR="008C5B2E" w:rsidRPr="008C5B2E">
              <w:rPr>
                <w:rFonts w:cs="Arial"/>
                <w:noProof/>
                <w:webHidden/>
              </w:rPr>
              <w:instrText xml:space="preserve"> PAGEREF _Toc112536823 \h </w:instrText>
            </w:r>
            <w:r w:rsidR="008C5B2E" w:rsidRPr="008C5B2E">
              <w:rPr>
                <w:rFonts w:cs="Arial"/>
                <w:noProof/>
                <w:webHidden/>
              </w:rPr>
            </w:r>
            <w:r w:rsidR="008C5B2E" w:rsidRPr="008C5B2E">
              <w:rPr>
                <w:rFonts w:cs="Arial"/>
                <w:noProof/>
                <w:webHidden/>
              </w:rPr>
              <w:fldChar w:fldCharType="separate"/>
            </w:r>
            <w:r w:rsidR="008C5B2E" w:rsidRPr="008C5B2E">
              <w:rPr>
                <w:rFonts w:cs="Arial"/>
                <w:noProof/>
                <w:webHidden/>
              </w:rPr>
              <w:t>4</w:t>
            </w:r>
            <w:r w:rsidR="008C5B2E" w:rsidRPr="008C5B2E">
              <w:rPr>
                <w:rFonts w:cs="Arial"/>
                <w:noProof/>
                <w:webHidden/>
              </w:rPr>
              <w:fldChar w:fldCharType="end"/>
            </w:r>
          </w:hyperlink>
        </w:p>
        <w:p w14:paraId="740995C2" w14:textId="77777777" w:rsidR="008C5B2E" w:rsidRPr="008C5B2E" w:rsidRDefault="00000000">
          <w:pPr>
            <w:pStyle w:val="TDC3"/>
            <w:tabs>
              <w:tab w:val="right" w:leader="dot" w:pos="8828"/>
            </w:tabs>
            <w:rPr>
              <w:rFonts w:cs="Arial"/>
              <w:noProof/>
            </w:rPr>
          </w:pPr>
          <w:hyperlink w:anchor="_Toc112536824" w:history="1">
            <w:r w:rsidR="008C5B2E" w:rsidRPr="008C5B2E">
              <w:rPr>
                <w:rStyle w:val="Hipervnculo"/>
                <w:rFonts w:cs="Arial"/>
                <w:noProof/>
              </w:rPr>
              <w:t>3.3.1 Variable dependiente: protección de los derechos humanos de integridad física</w:t>
            </w:r>
            <w:r w:rsidR="008C5B2E" w:rsidRPr="008C5B2E">
              <w:rPr>
                <w:rFonts w:cs="Arial"/>
                <w:noProof/>
                <w:webHidden/>
              </w:rPr>
              <w:tab/>
            </w:r>
            <w:r w:rsidR="008C5B2E" w:rsidRPr="008C5B2E">
              <w:rPr>
                <w:rFonts w:cs="Arial"/>
                <w:noProof/>
                <w:webHidden/>
              </w:rPr>
              <w:fldChar w:fldCharType="begin"/>
            </w:r>
            <w:r w:rsidR="008C5B2E" w:rsidRPr="008C5B2E">
              <w:rPr>
                <w:rFonts w:cs="Arial"/>
                <w:noProof/>
                <w:webHidden/>
              </w:rPr>
              <w:instrText xml:space="preserve"> PAGEREF _Toc112536824 \h </w:instrText>
            </w:r>
            <w:r w:rsidR="008C5B2E" w:rsidRPr="008C5B2E">
              <w:rPr>
                <w:rFonts w:cs="Arial"/>
                <w:noProof/>
                <w:webHidden/>
              </w:rPr>
            </w:r>
            <w:r w:rsidR="008C5B2E" w:rsidRPr="008C5B2E">
              <w:rPr>
                <w:rFonts w:cs="Arial"/>
                <w:noProof/>
                <w:webHidden/>
              </w:rPr>
              <w:fldChar w:fldCharType="separate"/>
            </w:r>
            <w:r w:rsidR="008C5B2E" w:rsidRPr="008C5B2E">
              <w:rPr>
                <w:rFonts w:cs="Arial"/>
                <w:noProof/>
                <w:webHidden/>
              </w:rPr>
              <w:t>4</w:t>
            </w:r>
            <w:r w:rsidR="008C5B2E" w:rsidRPr="008C5B2E">
              <w:rPr>
                <w:rFonts w:cs="Arial"/>
                <w:noProof/>
                <w:webHidden/>
              </w:rPr>
              <w:fldChar w:fldCharType="end"/>
            </w:r>
          </w:hyperlink>
        </w:p>
        <w:p w14:paraId="2EC32D63" w14:textId="77777777" w:rsidR="008C5B2E" w:rsidRPr="008C5B2E" w:rsidRDefault="00000000">
          <w:pPr>
            <w:pStyle w:val="TDC1"/>
            <w:tabs>
              <w:tab w:val="right" w:leader="dot" w:pos="8828"/>
            </w:tabs>
            <w:rPr>
              <w:rFonts w:cs="Arial"/>
              <w:noProof/>
            </w:rPr>
          </w:pPr>
          <w:hyperlink w:anchor="_Toc112536825" w:history="1">
            <w:r w:rsidR="008C5B2E" w:rsidRPr="008C5B2E">
              <w:rPr>
                <w:rStyle w:val="Hipervnculo"/>
                <w:rFonts w:cs="Arial"/>
                <w:noProof/>
              </w:rPr>
              <w:t>IV. La implementación de mecanismos de justicia transicional en las democracias post autoritarias</w:t>
            </w:r>
            <w:r w:rsidR="008C5B2E" w:rsidRPr="008C5B2E">
              <w:rPr>
                <w:rFonts w:cs="Arial"/>
                <w:noProof/>
                <w:webHidden/>
              </w:rPr>
              <w:tab/>
            </w:r>
            <w:r w:rsidR="008C5B2E" w:rsidRPr="008C5B2E">
              <w:rPr>
                <w:rFonts w:cs="Arial"/>
                <w:noProof/>
                <w:webHidden/>
              </w:rPr>
              <w:fldChar w:fldCharType="begin"/>
            </w:r>
            <w:r w:rsidR="008C5B2E" w:rsidRPr="008C5B2E">
              <w:rPr>
                <w:rFonts w:cs="Arial"/>
                <w:noProof/>
                <w:webHidden/>
              </w:rPr>
              <w:instrText xml:space="preserve"> PAGEREF _Toc112536825 \h </w:instrText>
            </w:r>
            <w:r w:rsidR="008C5B2E" w:rsidRPr="008C5B2E">
              <w:rPr>
                <w:rFonts w:cs="Arial"/>
                <w:noProof/>
                <w:webHidden/>
              </w:rPr>
            </w:r>
            <w:r w:rsidR="008C5B2E" w:rsidRPr="008C5B2E">
              <w:rPr>
                <w:rFonts w:cs="Arial"/>
                <w:noProof/>
                <w:webHidden/>
              </w:rPr>
              <w:fldChar w:fldCharType="separate"/>
            </w:r>
            <w:r w:rsidR="008C5B2E" w:rsidRPr="008C5B2E">
              <w:rPr>
                <w:rFonts w:cs="Arial"/>
                <w:noProof/>
                <w:webHidden/>
              </w:rPr>
              <w:t>5</w:t>
            </w:r>
            <w:r w:rsidR="008C5B2E" w:rsidRPr="008C5B2E">
              <w:rPr>
                <w:rFonts w:cs="Arial"/>
                <w:noProof/>
                <w:webHidden/>
              </w:rPr>
              <w:fldChar w:fldCharType="end"/>
            </w:r>
          </w:hyperlink>
        </w:p>
        <w:p w14:paraId="10B0F6D3" w14:textId="77777777" w:rsidR="008C5B2E" w:rsidRPr="008C5B2E" w:rsidRDefault="00000000">
          <w:pPr>
            <w:pStyle w:val="TDC2"/>
            <w:tabs>
              <w:tab w:val="right" w:leader="dot" w:pos="8828"/>
            </w:tabs>
            <w:rPr>
              <w:rFonts w:cs="Arial"/>
              <w:noProof/>
            </w:rPr>
          </w:pPr>
          <w:hyperlink w:anchor="_Toc112536826" w:history="1">
            <w:r w:rsidR="008C5B2E" w:rsidRPr="008C5B2E">
              <w:rPr>
                <w:rStyle w:val="Hipervnculo"/>
                <w:rFonts w:cs="Arial"/>
                <w:noProof/>
              </w:rPr>
              <w:t>IV. 1. Las transiciones democráticas</w:t>
            </w:r>
            <w:r w:rsidR="008C5B2E" w:rsidRPr="008C5B2E">
              <w:rPr>
                <w:rFonts w:cs="Arial"/>
                <w:noProof/>
                <w:webHidden/>
              </w:rPr>
              <w:tab/>
            </w:r>
            <w:r w:rsidR="008C5B2E" w:rsidRPr="008C5B2E">
              <w:rPr>
                <w:rFonts w:cs="Arial"/>
                <w:noProof/>
                <w:webHidden/>
              </w:rPr>
              <w:fldChar w:fldCharType="begin"/>
            </w:r>
            <w:r w:rsidR="008C5B2E" w:rsidRPr="008C5B2E">
              <w:rPr>
                <w:rFonts w:cs="Arial"/>
                <w:noProof/>
                <w:webHidden/>
              </w:rPr>
              <w:instrText xml:space="preserve"> PAGEREF _Toc112536826 \h </w:instrText>
            </w:r>
            <w:r w:rsidR="008C5B2E" w:rsidRPr="008C5B2E">
              <w:rPr>
                <w:rFonts w:cs="Arial"/>
                <w:noProof/>
                <w:webHidden/>
              </w:rPr>
            </w:r>
            <w:r w:rsidR="008C5B2E" w:rsidRPr="008C5B2E">
              <w:rPr>
                <w:rFonts w:cs="Arial"/>
                <w:noProof/>
                <w:webHidden/>
              </w:rPr>
              <w:fldChar w:fldCharType="separate"/>
            </w:r>
            <w:r w:rsidR="008C5B2E" w:rsidRPr="008C5B2E">
              <w:rPr>
                <w:rFonts w:cs="Arial"/>
                <w:noProof/>
                <w:webHidden/>
              </w:rPr>
              <w:t>5</w:t>
            </w:r>
            <w:r w:rsidR="008C5B2E" w:rsidRPr="008C5B2E">
              <w:rPr>
                <w:rFonts w:cs="Arial"/>
                <w:noProof/>
                <w:webHidden/>
              </w:rPr>
              <w:fldChar w:fldCharType="end"/>
            </w:r>
          </w:hyperlink>
        </w:p>
        <w:p w14:paraId="6FF9B78B" w14:textId="77777777" w:rsidR="008C5B2E" w:rsidRPr="008C5B2E" w:rsidRDefault="00000000">
          <w:pPr>
            <w:pStyle w:val="TDC2"/>
            <w:tabs>
              <w:tab w:val="right" w:leader="dot" w:pos="8828"/>
            </w:tabs>
            <w:rPr>
              <w:rFonts w:cs="Arial"/>
              <w:noProof/>
            </w:rPr>
          </w:pPr>
          <w:hyperlink w:anchor="_Toc112536827" w:history="1">
            <w:r w:rsidR="008C5B2E" w:rsidRPr="008C5B2E">
              <w:rPr>
                <w:rStyle w:val="Hipervnculo"/>
                <w:rFonts w:cs="Arial"/>
                <w:noProof/>
              </w:rPr>
              <w:t>medidas judiciales: Juicios y amnistías</w:t>
            </w:r>
            <w:r w:rsidR="008C5B2E" w:rsidRPr="008C5B2E">
              <w:rPr>
                <w:rFonts w:cs="Arial"/>
                <w:noProof/>
                <w:webHidden/>
              </w:rPr>
              <w:tab/>
            </w:r>
            <w:r w:rsidR="008C5B2E" w:rsidRPr="008C5B2E">
              <w:rPr>
                <w:rFonts w:cs="Arial"/>
                <w:noProof/>
                <w:webHidden/>
              </w:rPr>
              <w:fldChar w:fldCharType="begin"/>
            </w:r>
            <w:r w:rsidR="008C5B2E" w:rsidRPr="008C5B2E">
              <w:rPr>
                <w:rFonts w:cs="Arial"/>
                <w:noProof/>
                <w:webHidden/>
              </w:rPr>
              <w:instrText xml:space="preserve"> PAGEREF _Toc112536827 \h </w:instrText>
            </w:r>
            <w:r w:rsidR="008C5B2E" w:rsidRPr="008C5B2E">
              <w:rPr>
                <w:rFonts w:cs="Arial"/>
                <w:noProof/>
                <w:webHidden/>
              </w:rPr>
            </w:r>
            <w:r w:rsidR="008C5B2E" w:rsidRPr="008C5B2E">
              <w:rPr>
                <w:rFonts w:cs="Arial"/>
                <w:noProof/>
                <w:webHidden/>
              </w:rPr>
              <w:fldChar w:fldCharType="separate"/>
            </w:r>
            <w:r w:rsidR="008C5B2E" w:rsidRPr="008C5B2E">
              <w:rPr>
                <w:rFonts w:cs="Arial"/>
                <w:noProof/>
                <w:webHidden/>
              </w:rPr>
              <w:t>6</w:t>
            </w:r>
            <w:r w:rsidR="008C5B2E" w:rsidRPr="008C5B2E">
              <w:rPr>
                <w:rFonts w:cs="Arial"/>
                <w:noProof/>
                <w:webHidden/>
              </w:rPr>
              <w:fldChar w:fldCharType="end"/>
            </w:r>
          </w:hyperlink>
        </w:p>
        <w:p w14:paraId="5A0346DB" w14:textId="77777777" w:rsidR="008C5B2E" w:rsidRPr="008C5B2E" w:rsidRDefault="00000000">
          <w:pPr>
            <w:pStyle w:val="TDC2"/>
            <w:tabs>
              <w:tab w:val="right" w:leader="dot" w:pos="8828"/>
            </w:tabs>
            <w:rPr>
              <w:rFonts w:cs="Arial"/>
              <w:noProof/>
            </w:rPr>
          </w:pPr>
          <w:hyperlink w:anchor="_Toc112536828" w:history="1">
            <w:r w:rsidR="008C5B2E" w:rsidRPr="008C5B2E">
              <w:rPr>
                <w:rStyle w:val="Hipervnculo"/>
                <w:rFonts w:cs="Arial"/>
                <w:noProof/>
              </w:rPr>
              <w:t>Medidas no judiciales: comisiones</w:t>
            </w:r>
            <w:r w:rsidR="008C5B2E" w:rsidRPr="008C5B2E">
              <w:rPr>
                <w:rFonts w:cs="Arial"/>
                <w:noProof/>
                <w:webHidden/>
              </w:rPr>
              <w:tab/>
            </w:r>
            <w:r w:rsidR="008C5B2E" w:rsidRPr="008C5B2E">
              <w:rPr>
                <w:rFonts w:cs="Arial"/>
                <w:noProof/>
                <w:webHidden/>
              </w:rPr>
              <w:fldChar w:fldCharType="begin"/>
            </w:r>
            <w:r w:rsidR="008C5B2E" w:rsidRPr="008C5B2E">
              <w:rPr>
                <w:rFonts w:cs="Arial"/>
                <w:noProof/>
                <w:webHidden/>
              </w:rPr>
              <w:instrText xml:space="preserve"> PAGEREF _Toc112536828 \h </w:instrText>
            </w:r>
            <w:r w:rsidR="008C5B2E" w:rsidRPr="008C5B2E">
              <w:rPr>
                <w:rFonts w:cs="Arial"/>
                <w:noProof/>
                <w:webHidden/>
              </w:rPr>
            </w:r>
            <w:r w:rsidR="008C5B2E" w:rsidRPr="008C5B2E">
              <w:rPr>
                <w:rFonts w:cs="Arial"/>
                <w:noProof/>
                <w:webHidden/>
              </w:rPr>
              <w:fldChar w:fldCharType="separate"/>
            </w:r>
            <w:r w:rsidR="008C5B2E" w:rsidRPr="008C5B2E">
              <w:rPr>
                <w:rFonts w:cs="Arial"/>
                <w:noProof/>
                <w:webHidden/>
              </w:rPr>
              <w:t>7</w:t>
            </w:r>
            <w:r w:rsidR="008C5B2E" w:rsidRPr="008C5B2E">
              <w:rPr>
                <w:rFonts w:cs="Arial"/>
                <w:noProof/>
                <w:webHidden/>
              </w:rPr>
              <w:fldChar w:fldCharType="end"/>
            </w:r>
          </w:hyperlink>
        </w:p>
        <w:p w14:paraId="4AC22709" w14:textId="77777777" w:rsidR="002202CF" w:rsidRPr="008C5B2E" w:rsidRDefault="00000000">
          <w:pPr>
            <w:rPr>
              <w:rFonts w:cs="Arial"/>
            </w:rPr>
          </w:pPr>
          <w:r w:rsidRPr="008C5B2E">
            <w:rPr>
              <w:rFonts w:cs="Arial"/>
            </w:rPr>
            <w:fldChar w:fldCharType="end"/>
          </w:r>
        </w:p>
      </w:sdtContent>
    </w:sdt>
    <w:p w14:paraId="15605831" w14:textId="77777777" w:rsidR="002202CF" w:rsidRPr="008C5B2E" w:rsidRDefault="00000000">
      <w:pPr>
        <w:pStyle w:val="Ttulo1"/>
        <w:rPr>
          <w:rFonts w:cs="Arial"/>
        </w:rPr>
      </w:pPr>
      <w:bookmarkStart w:id="0" w:name="_Toc112536820"/>
      <w:bookmarkStart w:id="1" w:name="iii.-metodología"/>
      <w:r w:rsidRPr="008C5B2E">
        <w:rPr>
          <w:rFonts w:cs="Arial"/>
        </w:rPr>
        <w:lastRenderedPageBreak/>
        <w:t>III. Metodología</w:t>
      </w:r>
      <w:bookmarkEnd w:id="0"/>
    </w:p>
    <w:p w14:paraId="2C241410" w14:textId="77777777" w:rsidR="002202CF" w:rsidRPr="008C5B2E" w:rsidRDefault="00000000">
      <w:pPr>
        <w:pStyle w:val="Ttulo2"/>
        <w:rPr>
          <w:rFonts w:cs="Arial"/>
        </w:rPr>
      </w:pPr>
      <w:bookmarkStart w:id="2" w:name="_Toc112536821"/>
      <w:bookmarkStart w:id="3" w:name="tipo-de-estudio"/>
      <w:r w:rsidRPr="008C5B2E">
        <w:rPr>
          <w:rFonts w:cs="Arial"/>
        </w:rPr>
        <w:t>3.1 Tipo de estudio</w:t>
      </w:r>
      <w:bookmarkEnd w:id="2"/>
    </w:p>
    <w:p w14:paraId="7F226F7E" w14:textId="77777777" w:rsidR="002202CF" w:rsidRPr="008C5B2E" w:rsidRDefault="00000000">
      <w:pPr>
        <w:pStyle w:val="FirstParagraph"/>
        <w:rPr>
          <w:rFonts w:cs="Arial"/>
        </w:rPr>
      </w:pPr>
      <w:r w:rsidRPr="008C5B2E">
        <w:rPr>
          <w:rFonts w:cs="Arial"/>
        </w:rPr>
        <w:t>Esta tesis corresponde a un estudio cuantitativo de tipo longitudinal y alcance correlacional, ya que busca analizar, dentro de un determinado periodo de tiempo, la existencia y el nivel de asociación entre una variable dependiente (respeto a los derechos de integridad física) y varias variables independientes que operan como predictores o como control estadístico. Por tanto, en el estudio de estas tesis se busca identificar el tipo de relación que existe entre el nivel de respeto a los derechos humanos que presentan los países post autoritarios y el uso de enjuiciamientos y comisiones de verdad, con la finalidad de determinar la dirección o efecto de dicha relación.</w:t>
      </w:r>
    </w:p>
    <w:p w14:paraId="671C3220" w14:textId="77777777" w:rsidR="002202CF" w:rsidRPr="008C5B2E" w:rsidRDefault="00000000">
      <w:pPr>
        <w:pStyle w:val="Textoindependiente"/>
        <w:rPr>
          <w:rFonts w:cs="Arial"/>
        </w:rPr>
      </w:pPr>
      <w:r w:rsidRPr="008C5B2E">
        <w:rPr>
          <w:rFonts w:cs="Arial"/>
        </w:rPr>
        <w:t>Asimismo, esta tesis corresponde a un estudio de fuentes secundarias, porque recolecta y analiza información estadística producida por otros académicos y organizaciones especializadas en el estudio de las violaciones a los derechos humanos y los mecanismos de justicia transicional.</w:t>
      </w:r>
    </w:p>
    <w:p w14:paraId="3FBBF17B" w14:textId="77777777" w:rsidR="002202CF" w:rsidRPr="008C5B2E" w:rsidRDefault="00000000">
      <w:pPr>
        <w:pStyle w:val="Ttulo2"/>
        <w:rPr>
          <w:rFonts w:cs="Arial"/>
        </w:rPr>
      </w:pPr>
      <w:bookmarkStart w:id="4" w:name="_Toc112536822"/>
      <w:bookmarkStart w:id="5" w:name="datos"/>
      <w:bookmarkEnd w:id="3"/>
      <w:r w:rsidRPr="008C5B2E">
        <w:rPr>
          <w:rFonts w:cs="Arial"/>
        </w:rPr>
        <w:t>3.2 Datos</w:t>
      </w:r>
      <w:bookmarkEnd w:id="4"/>
    </w:p>
    <w:p w14:paraId="282BDF31" w14:textId="77777777" w:rsidR="002202CF" w:rsidRPr="008C5B2E" w:rsidRDefault="00000000">
      <w:pPr>
        <w:pStyle w:val="FirstParagraph"/>
        <w:rPr>
          <w:rFonts w:cs="Arial"/>
        </w:rPr>
      </w:pPr>
      <w:r w:rsidRPr="008C5B2E">
        <w:rPr>
          <w:rFonts w:cs="Arial"/>
        </w:rPr>
        <w:t>Para desarrollar este estudio, se elaboró una base de datos tipo panel con las 111 transiciones democráticas ocurridas 89 países, entre los años 1970 y 2011, en el contexto de la tercera ola de democratización mundial (Huntington, 1991). La selección de la muestra, se hizo en base a la información disponible en el Proyecto Colaborativo de Investigación en Justicia Transicional (Dancy et al., 2014) que contiene datos cuantitativos sobre los procesos de transición política experimentados durante el periodo de estudio.</w:t>
      </w:r>
    </w:p>
    <w:p w14:paraId="361E16AB" w14:textId="77777777" w:rsidR="002202CF" w:rsidRPr="008C5B2E" w:rsidRDefault="00000000">
      <w:pPr>
        <w:pStyle w:val="Textoindependiente"/>
        <w:rPr>
          <w:rFonts w:cs="Arial"/>
        </w:rPr>
      </w:pPr>
      <w:r w:rsidRPr="008C5B2E">
        <w:rPr>
          <w:rFonts w:cs="Arial"/>
        </w:rPr>
        <w:t xml:space="preserve">En el proceso de selección de casos se decidió excluir deliberadamente a las transiciones de las guerras civiles, ya que estos casos difieren cualitativamente de las transiciones ocurridas en los países que recuperaron su tradición democrática o que se independizaron de estados autoritarios disueltos, como la ex Unión Soviética o la ex Yugoslavia. Se considera que no es conveniente para el análisis agrupar casos de transiciones que no son iguales, sin distinguir entre las transiciones </w:t>
      </w:r>
      <w:r w:rsidRPr="008C5B2E">
        <w:rPr>
          <w:rFonts w:cs="Arial"/>
        </w:rPr>
        <w:lastRenderedPageBreak/>
        <w:t>democráticas, que son los casos emblemáticos de la justicia transicional, y los casos de países posconflicto que lidian con el jus postbellum.</w:t>
      </w:r>
    </w:p>
    <w:p w14:paraId="3B587CFB" w14:textId="77777777" w:rsidR="002202CF" w:rsidRPr="008C5B2E" w:rsidRDefault="00000000">
      <w:pPr>
        <w:pStyle w:val="Textoindependiente"/>
        <w:rPr>
          <w:rFonts w:cs="Arial"/>
        </w:rPr>
      </w:pPr>
      <w:r w:rsidRPr="008C5B2E">
        <w:rPr>
          <w:rFonts w:cs="Arial"/>
        </w:rPr>
        <w:t>La unidad de análisis de la base de datos es el año de transición por país. Esto quiere decir, que la base de datos almacena y sistematiza la información de los países en los años posteriores a la recuperación de la democracia. La base de datos contiene 1.818 observaciones anidadas en 111 transiciones con diferentes años de transición (T = 2 - 28).</w:t>
      </w:r>
    </w:p>
    <w:p w14:paraId="4CBF8160" w14:textId="77777777" w:rsidR="002202CF" w:rsidRPr="008C5B2E" w:rsidRDefault="00000000">
      <w:pPr>
        <w:pStyle w:val="Textoindependiente"/>
        <w:rPr>
          <w:rFonts w:cs="Arial"/>
        </w:rPr>
      </w:pPr>
      <w:r w:rsidRPr="008C5B2E">
        <w:rPr>
          <w:rFonts w:cs="Arial"/>
        </w:rPr>
        <w:t>En los casos de procesos de transición democráticas interrumpidos por golpes de estado o regresiones autoritarias, se excluye de la base de datos la información de los años en los que estuvo ausente el régimen democrático. Asimismo, en los países que experimentaron más de una transición democrática durante el periodo de estudio, como es el de caso de Argentina entre los años 1973 - 1976 y 1983 en adelante, se incluye sólo la información de los años posteriores a la recuperación de la democracia. a fgura 1 muestra las transiciones transiciones democráticas por país incorporadas en la base de datos.</w:t>
      </w:r>
    </w:p>
    <w:p w14:paraId="69D311B2" w14:textId="77777777" w:rsidR="002202CF" w:rsidRPr="008C5B2E" w:rsidRDefault="00000000">
      <w:pPr>
        <w:pStyle w:val="CaptionedFigure"/>
        <w:rPr>
          <w:rFonts w:cs="Arial"/>
        </w:rPr>
      </w:pPr>
      <w:r w:rsidRPr="008C5B2E">
        <w:rPr>
          <w:rFonts w:cs="Arial"/>
          <w:noProof/>
        </w:rPr>
        <w:drawing>
          <wp:inline distT="0" distB="0" distL="0" distR="0" wp14:anchorId="4CAC67C4" wp14:editId="0D15AC83">
            <wp:extent cx="5600700" cy="3360420"/>
            <wp:effectExtent l="0" t="0" r="0" b="0"/>
            <wp:docPr id="25" name="Picture" descr="Figura 1. Transiciones democráticas incluidas en la muestra (n = 111)"/>
            <wp:cNvGraphicFramePr/>
            <a:graphic xmlns:a="http://schemas.openxmlformats.org/drawingml/2006/main">
              <a:graphicData uri="http://schemas.openxmlformats.org/drawingml/2006/picture">
                <pic:pic xmlns:pic="http://schemas.openxmlformats.org/drawingml/2006/picture">
                  <pic:nvPicPr>
                    <pic:cNvPr id="26" name="Picture" descr="informe_4_files/figure-docx/unnamed-chunk-1-1.png"/>
                    <pic:cNvPicPr>
                      <a:picLocks noChangeAspect="1" noChangeArrowheads="1"/>
                    </pic:cNvPicPr>
                  </pic:nvPicPr>
                  <pic:blipFill>
                    <a:blip r:embed="rId8"/>
                    <a:stretch>
                      <a:fillRect/>
                    </a:stretch>
                  </pic:blipFill>
                  <pic:spPr bwMode="auto">
                    <a:xfrm>
                      <a:off x="0" y="0"/>
                      <a:ext cx="5600700" cy="3360420"/>
                    </a:xfrm>
                    <a:prstGeom prst="rect">
                      <a:avLst/>
                    </a:prstGeom>
                    <a:noFill/>
                    <a:ln w="9525">
                      <a:noFill/>
                      <a:headEnd/>
                      <a:tailEnd/>
                    </a:ln>
                  </pic:spPr>
                </pic:pic>
              </a:graphicData>
            </a:graphic>
          </wp:inline>
        </w:drawing>
      </w:r>
    </w:p>
    <w:p w14:paraId="615AC0FD" w14:textId="77777777" w:rsidR="002202CF" w:rsidRPr="008C5B2E" w:rsidRDefault="00000000">
      <w:pPr>
        <w:pStyle w:val="ImageCaption"/>
        <w:rPr>
          <w:rFonts w:cs="Arial"/>
        </w:rPr>
      </w:pPr>
      <w:r w:rsidRPr="008C5B2E">
        <w:rPr>
          <w:rFonts w:cs="Arial"/>
        </w:rPr>
        <w:t>Figura 1. Transiciones democráticas incluidas en la muestra (n = 111)</w:t>
      </w:r>
    </w:p>
    <w:p w14:paraId="71AA9641" w14:textId="77777777" w:rsidR="002202CF" w:rsidRPr="008C5B2E" w:rsidRDefault="00000000">
      <w:pPr>
        <w:pStyle w:val="Ttulo2"/>
        <w:rPr>
          <w:rFonts w:cs="Arial"/>
        </w:rPr>
      </w:pPr>
      <w:bookmarkStart w:id="6" w:name="_Toc112536823"/>
      <w:bookmarkStart w:id="7" w:name="variables"/>
      <w:bookmarkEnd w:id="5"/>
      <w:r w:rsidRPr="008C5B2E">
        <w:rPr>
          <w:rFonts w:cs="Arial"/>
        </w:rPr>
        <w:lastRenderedPageBreak/>
        <w:t>3.3 Variables</w:t>
      </w:r>
      <w:bookmarkEnd w:id="6"/>
    </w:p>
    <w:p w14:paraId="38532E7B" w14:textId="77777777" w:rsidR="002202CF" w:rsidRPr="008C5B2E" w:rsidRDefault="00000000">
      <w:pPr>
        <w:pStyle w:val="Ttulo3"/>
        <w:rPr>
          <w:rFonts w:cs="Arial"/>
        </w:rPr>
      </w:pPr>
      <w:bookmarkStart w:id="8" w:name="_Toc112536824"/>
      <w:bookmarkStart w:id="9" w:name="Xe53b518a06909c749e02e93777349705e1c85e0"/>
      <w:r w:rsidRPr="008C5B2E">
        <w:rPr>
          <w:rFonts w:cs="Arial"/>
        </w:rPr>
        <w:t>3.3.1 Variable dependiente: protección de los derechos humanos de integridad física</w:t>
      </w:r>
      <w:bookmarkEnd w:id="8"/>
    </w:p>
    <w:p w14:paraId="6A2AE9B1" w14:textId="77777777" w:rsidR="002202CF" w:rsidRPr="008C5B2E" w:rsidRDefault="00000000">
      <w:pPr>
        <w:pStyle w:val="Ttulo1"/>
        <w:rPr>
          <w:rFonts w:cs="Arial"/>
        </w:rPr>
      </w:pPr>
      <w:bookmarkStart w:id="10" w:name="_Toc112536825"/>
      <w:bookmarkStart w:id="11" w:name="X80db95feece2111efd834bebff90d594b8bd09e"/>
      <w:bookmarkEnd w:id="1"/>
      <w:bookmarkEnd w:id="7"/>
      <w:bookmarkEnd w:id="9"/>
      <w:r w:rsidRPr="008C5B2E">
        <w:rPr>
          <w:rFonts w:cs="Arial"/>
        </w:rPr>
        <w:lastRenderedPageBreak/>
        <w:t>IV. La implementación de mecanismos de justicia transicional en las democracias post autoritarias</w:t>
      </w:r>
      <w:bookmarkEnd w:id="10"/>
    </w:p>
    <w:p w14:paraId="0B54104F" w14:textId="77777777" w:rsidR="002202CF" w:rsidRPr="008C5B2E" w:rsidRDefault="00000000">
      <w:pPr>
        <w:pStyle w:val="FirstParagraph"/>
        <w:rPr>
          <w:rFonts w:cs="Arial"/>
        </w:rPr>
      </w:pPr>
      <w:r w:rsidRPr="008C5B2E">
        <w:rPr>
          <w:rFonts w:cs="Arial"/>
        </w:rPr>
        <w:t>El presente capítulo se enmarca dentro del objetivo específico 1 de esta tesis: “Conocer la implementación de juicios, amnistías y comisiones de verdad en las democracias post autoritarias”. Para cumplir con el objetivo, el capítulo se divide en cuatro partes: la primera, describe las transiciones democráticas ocurridas entre 1970 y 2011, en el marco de la tercera ola de democratiación mundial; la segunda parte, describe el uso de mecanismos judiciales de justicia transicional, como los juicios, sentencias y amnistías en las transiciones democráticas; la tercera parte, describe el uso de comisiones de verdad, así como la publicación de informes y recomendaciones para garantizar la no repetición de las violaciones a los derechos humanos en las democracias post autoritarias; y la cuarta parte, describe el uso combinado de mecanismos judiciales y no judiciales de justicia transicional en las democracias post autoritarias, en particular la combinación de juicios y comisiones de verdad y la combinación de juicios, amnistías y comisiones de verdad.</w:t>
      </w:r>
    </w:p>
    <w:p w14:paraId="3302547B" w14:textId="77777777" w:rsidR="002202CF" w:rsidRPr="008C5B2E" w:rsidRDefault="00000000">
      <w:pPr>
        <w:pStyle w:val="Ttulo2"/>
        <w:rPr>
          <w:rFonts w:cs="Arial"/>
        </w:rPr>
      </w:pPr>
      <w:bookmarkStart w:id="12" w:name="_Toc112536826"/>
      <w:bookmarkStart w:id="13" w:name="iv.-1.-las-transiciones-democráticas"/>
      <w:r w:rsidRPr="008C5B2E">
        <w:rPr>
          <w:rFonts w:cs="Arial"/>
        </w:rPr>
        <w:t>IV. 1. Las transiciones democráticas</w:t>
      </w:r>
      <w:bookmarkEnd w:id="12"/>
    </w:p>
    <w:p w14:paraId="7B6FCBD8" w14:textId="77777777" w:rsidR="002202CF" w:rsidRPr="008C5B2E" w:rsidRDefault="00000000">
      <w:pPr>
        <w:pStyle w:val="FirstParagraph"/>
        <w:rPr>
          <w:rFonts w:cs="Arial"/>
        </w:rPr>
      </w:pPr>
      <w:r w:rsidRPr="008C5B2E">
        <w:rPr>
          <w:rFonts w:cs="Arial"/>
        </w:rPr>
        <w:t>De acuerdo con los datos del TJRC, entre 1970 y 2011 ocurrieron 111 transiciones del autoritarismo a regímenes democráticos o semi democráticos en 89 países del mundo. La mayoría de estas transiciones tuvieron lugar en países de Afríca, Europa y Asia Central, y América Latina</w:t>
      </w:r>
    </w:p>
    <w:p w14:paraId="0AEC2385" w14:textId="77777777" w:rsidR="002202CF" w:rsidRPr="008C5B2E" w:rsidRDefault="00000000">
      <w:pPr>
        <w:pStyle w:val="TableCaption"/>
        <w:rPr>
          <w:rFonts w:cs="Arial"/>
        </w:rPr>
      </w:pPr>
      <w:r w:rsidRPr="008C5B2E">
        <w:rPr>
          <w:rFonts w:cs="Arial"/>
          <w:b/>
        </w:rPr>
        <w:t xml:space="preserve">Table </w:t>
      </w:r>
      <w:r w:rsidRPr="008C5B2E">
        <w:rPr>
          <w:rFonts w:cs="Arial"/>
          <w:b/>
        </w:rPr>
        <w:fldChar w:fldCharType="begin"/>
      </w:r>
      <w:r w:rsidRPr="008C5B2E">
        <w:rPr>
          <w:rFonts w:cs="Arial"/>
          <w:b/>
        </w:rPr>
        <w:instrText>SEQ tab \* Arabic</w:instrText>
      </w:r>
      <w:r w:rsidRPr="008C5B2E">
        <w:rPr>
          <w:rFonts w:cs="Arial"/>
          <w:b/>
        </w:rPr>
        <w:fldChar w:fldCharType="separate"/>
      </w:r>
      <w:r w:rsidR="008C5B2E" w:rsidRPr="008C5B2E">
        <w:rPr>
          <w:rFonts w:cs="Arial"/>
          <w:b/>
          <w:noProof/>
        </w:rPr>
        <w:t>1</w:t>
      </w:r>
      <w:r w:rsidRPr="008C5B2E">
        <w:rPr>
          <w:rFonts w:cs="Arial"/>
          <w:b/>
        </w:rPr>
        <w:fldChar w:fldCharType="end"/>
      </w:r>
      <w:r w:rsidRPr="008C5B2E">
        <w:rPr>
          <w:rFonts w:cs="Arial"/>
        </w:rPr>
        <w:t>: Estadísticos descriptivos de años de transición por región</w:t>
      </w:r>
    </w:p>
    <w:tbl>
      <w:tblPr>
        <w:tblW w:w="0" w:type="auto"/>
        <w:jc w:val="center"/>
        <w:tblLook w:val="0420" w:firstRow="1" w:lastRow="0" w:firstColumn="0" w:lastColumn="0" w:noHBand="0" w:noVBand="1"/>
      </w:tblPr>
      <w:tblGrid>
        <w:gridCol w:w="2213"/>
        <w:gridCol w:w="885"/>
        <w:gridCol w:w="1497"/>
        <w:gridCol w:w="836"/>
        <w:gridCol w:w="1093"/>
        <w:gridCol w:w="1081"/>
        <w:gridCol w:w="592"/>
        <w:gridCol w:w="641"/>
      </w:tblGrid>
      <w:tr w:rsidR="002202CF" w:rsidRPr="008C5B2E" w14:paraId="1B01D348" w14:textId="77777777">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1B5725" w14:textId="77777777" w:rsidR="002202CF" w:rsidRPr="008C5B2E" w:rsidRDefault="00000000">
            <w:pPr>
              <w:spacing w:before="100" w:after="100"/>
              <w:ind w:left="100" w:right="100"/>
              <w:rPr>
                <w:rFonts w:cs="Arial"/>
              </w:rPr>
            </w:pPr>
            <w:r w:rsidRPr="008C5B2E">
              <w:rPr>
                <w:rFonts w:eastAsia="Arial" w:cs="Arial"/>
                <w:b/>
                <w:color w:val="000000"/>
                <w:sz w:val="22"/>
                <w:szCs w:val="22"/>
              </w:rPr>
              <w:t>region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EAF843"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paises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4309AA"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transiciones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D6AB1B"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media</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6EF776"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mediana</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183CBD"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desv.est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DEF474"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min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54DF27"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max</w:t>
            </w:r>
          </w:p>
        </w:tc>
      </w:tr>
      <w:tr w:rsidR="002202CF" w:rsidRPr="008C5B2E" w14:paraId="72E196B7" w14:textId="7777777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0132B27" w14:textId="77777777" w:rsidR="002202CF" w:rsidRPr="008C5B2E" w:rsidRDefault="00000000">
            <w:pPr>
              <w:spacing w:before="100" w:after="100"/>
              <w:ind w:left="100" w:right="100"/>
              <w:rPr>
                <w:rFonts w:cs="Arial"/>
              </w:rPr>
            </w:pPr>
            <w:r w:rsidRPr="008C5B2E">
              <w:rPr>
                <w:rFonts w:eastAsia="Arial" w:cs="Arial"/>
                <w:color w:val="000000"/>
                <w:sz w:val="22"/>
                <w:szCs w:val="22"/>
              </w:rPr>
              <w:t>East Asia and Pacific</w:t>
            </w:r>
          </w:p>
        </w:tc>
        <w:tc>
          <w:tcPr>
            <w:tcW w:w="0" w:type="auto"/>
            <w:tcBorders>
              <w:bottom w:val="single" w:sz="4" w:space="0" w:color="666666"/>
            </w:tcBorders>
            <w:shd w:val="clear" w:color="auto" w:fill="FFFFFF"/>
            <w:tcMar>
              <w:top w:w="0" w:type="dxa"/>
              <w:left w:w="0" w:type="dxa"/>
              <w:bottom w:w="0" w:type="dxa"/>
              <w:right w:w="0" w:type="dxa"/>
            </w:tcMar>
            <w:vAlign w:val="center"/>
          </w:tcPr>
          <w:p w14:paraId="6A6B4145"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8</w:t>
            </w:r>
          </w:p>
        </w:tc>
        <w:tc>
          <w:tcPr>
            <w:tcW w:w="0" w:type="auto"/>
            <w:tcBorders>
              <w:bottom w:val="single" w:sz="4" w:space="0" w:color="666666"/>
            </w:tcBorders>
            <w:shd w:val="clear" w:color="auto" w:fill="FFFFFF"/>
            <w:tcMar>
              <w:top w:w="0" w:type="dxa"/>
              <w:left w:w="0" w:type="dxa"/>
              <w:bottom w:w="0" w:type="dxa"/>
              <w:right w:w="0" w:type="dxa"/>
            </w:tcMar>
            <w:vAlign w:val="center"/>
          </w:tcPr>
          <w:p w14:paraId="2FB3E68F"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12</w:t>
            </w:r>
          </w:p>
        </w:tc>
        <w:tc>
          <w:tcPr>
            <w:tcW w:w="0" w:type="auto"/>
            <w:tcBorders>
              <w:bottom w:val="single" w:sz="4" w:space="0" w:color="666666"/>
            </w:tcBorders>
            <w:shd w:val="clear" w:color="auto" w:fill="FFFFFF"/>
            <w:tcMar>
              <w:top w:w="0" w:type="dxa"/>
              <w:left w:w="0" w:type="dxa"/>
              <w:bottom w:w="0" w:type="dxa"/>
              <w:right w:w="0" w:type="dxa"/>
            </w:tcMar>
            <w:vAlign w:val="center"/>
          </w:tcPr>
          <w:p w14:paraId="23A0C468"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14.08</w:t>
            </w:r>
          </w:p>
        </w:tc>
        <w:tc>
          <w:tcPr>
            <w:tcW w:w="0" w:type="auto"/>
            <w:tcBorders>
              <w:bottom w:val="single" w:sz="4" w:space="0" w:color="666666"/>
            </w:tcBorders>
            <w:shd w:val="clear" w:color="auto" w:fill="FFFFFF"/>
            <w:tcMar>
              <w:top w:w="0" w:type="dxa"/>
              <w:left w:w="0" w:type="dxa"/>
              <w:bottom w:w="0" w:type="dxa"/>
              <w:right w:w="0" w:type="dxa"/>
            </w:tcMar>
            <w:vAlign w:val="center"/>
          </w:tcPr>
          <w:p w14:paraId="699B960E"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14.0</w:t>
            </w:r>
          </w:p>
        </w:tc>
        <w:tc>
          <w:tcPr>
            <w:tcW w:w="0" w:type="auto"/>
            <w:tcBorders>
              <w:bottom w:val="single" w:sz="4" w:space="0" w:color="666666"/>
            </w:tcBorders>
            <w:shd w:val="clear" w:color="auto" w:fill="FFFFFF"/>
            <w:tcMar>
              <w:top w:w="0" w:type="dxa"/>
              <w:left w:w="0" w:type="dxa"/>
              <w:bottom w:w="0" w:type="dxa"/>
              <w:right w:w="0" w:type="dxa"/>
            </w:tcMar>
            <w:vAlign w:val="center"/>
          </w:tcPr>
          <w:p w14:paraId="10D893D8"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7.44</w:t>
            </w:r>
          </w:p>
        </w:tc>
        <w:tc>
          <w:tcPr>
            <w:tcW w:w="0" w:type="auto"/>
            <w:tcBorders>
              <w:bottom w:val="single" w:sz="4" w:space="0" w:color="666666"/>
            </w:tcBorders>
            <w:shd w:val="clear" w:color="auto" w:fill="FFFFFF"/>
            <w:tcMar>
              <w:top w:w="0" w:type="dxa"/>
              <w:left w:w="0" w:type="dxa"/>
              <w:bottom w:w="0" w:type="dxa"/>
              <w:right w:w="0" w:type="dxa"/>
            </w:tcMar>
            <w:vAlign w:val="center"/>
          </w:tcPr>
          <w:p w14:paraId="5FAC8981"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7923F100"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25</w:t>
            </w:r>
          </w:p>
        </w:tc>
      </w:tr>
      <w:tr w:rsidR="002202CF" w:rsidRPr="008C5B2E" w14:paraId="04270FF7" w14:textId="7777777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FE549" w14:textId="77777777" w:rsidR="002202CF" w:rsidRPr="008C5B2E" w:rsidRDefault="00000000">
            <w:pPr>
              <w:spacing w:before="100" w:after="100"/>
              <w:ind w:left="100" w:right="100"/>
              <w:rPr>
                <w:rFonts w:cs="Arial"/>
              </w:rPr>
            </w:pPr>
            <w:r w:rsidRPr="008C5B2E">
              <w:rPr>
                <w:rFonts w:eastAsia="Arial" w:cs="Arial"/>
                <w:color w:val="000000"/>
                <w:sz w:val="22"/>
                <w:szCs w:val="22"/>
              </w:rPr>
              <w:t>Europe and Central Asia</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EC16A2"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2D1B06"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726450"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18.44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7F0E35"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0C320"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8.21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5A5B1F"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668C75"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35</w:t>
            </w:r>
          </w:p>
        </w:tc>
      </w:tr>
      <w:tr w:rsidR="002202CF" w:rsidRPr="008C5B2E" w14:paraId="58E8EB91" w14:textId="7777777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C37B1" w14:textId="77777777" w:rsidR="002202CF" w:rsidRPr="008C5B2E" w:rsidRDefault="00000000">
            <w:pPr>
              <w:spacing w:before="100" w:after="100"/>
              <w:ind w:left="100" w:right="100"/>
              <w:rPr>
                <w:rFonts w:cs="Arial"/>
              </w:rPr>
            </w:pPr>
            <w:r w:rsidRPr="008C5B2E">
              <w:rPr>
                <w:rFonts w:eastAsia="Arial" w:cs="Arial"/>
                <w:color w:val="000000"/>
                <w:sz w:val="22"/>
                <w:szCs w:val="22"/>
              </w:rPr>
              <w:t>Latin America and Caribbean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16DA6"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A845CF"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8ADB21"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21.57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058563"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22.0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DAFF4E"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8.48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813319"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1FECF"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33</w:t>
            </w:r>
          </w:p>
        </w:tc>
      </w:tr>
      <w:tr w:rsidR="002202CF" w:rsidRPr="008C5B2E" w14:paraId="06CAD350" w14:textId="7777777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A2057F" w14:textId="77777777" w:rsidR="002202CF" w:rsidRPr="008C5B2E" w:rsidRDefault="00000000">
            <w:pPr>
              <w:spacing w:before="100" w:after="100"/>
              <w:ind w:left="100" w:right="100"/>
              <w:rPr>
                <w:rFonts w:cs="Arial"/>
              </w:rPr>
            </w:pPr>
            <w:r w:rsidRPr="008C5B2E">
              <w:rPr>
                <w:rFonts w:eastAsia="Arial" w:cs="Arial"/>
                <w:color w:val="000000"/>
                <w:sz w:val="22"/>
                <w:szCs w:val="22"/>
              </w:rPr>
              <w:t>Middle East and North Africa</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9CD0D"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FC4590"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576FC"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27AF0"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23176A"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5.35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460943"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E1B50"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14</w:t>
            </w:r>
          </w:p>
        </w:tc>
      </w:tr>
      <w:tr w:rsidR="002202CF" w:rsidRPr="008C5B2E" w14:paraId="496A6C5D" w14:textId="7777777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9524B" w14:textId="77777777" w:rsidR="002202CF" w:rsidRPr="008C5B2E" w:rsidRDefault="00000000">
            <w:pPr>
              <w:spacing w:before="100" w:after="100"/>
              <w:ind w:left="100" w:right="100"/>
              <w:rPr>
                <w:rFonts w:cs="Arial"/>
              </w:rPr>
            </w:pPr>
            <w:r w:rsidRPr="008C5B2E">
              <w:rPr>
                <w:rFonts w:eastAsia="Arial" w:cs="Arial"/>
                <w:color w:val="000000"/>
                <w:sz w:val="22"/>
                <w:szCs w:val="22"/>
              </w:rPr>
              <w:lastRenderedPageBreak/>
              <w:t>South Asia</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76E3DC"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035E2"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EFD31A"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11.38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826888"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F10C4F"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6.76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7229EA"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BEA91C"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19</w:t>
            </w:r>
          </w:p>
        </w:tc>
      </w:tr>
      <w:tr w:rsidR="002202CF" w:rsidRPr="008C5B2E" w14:paraId="5356C5AA" w14:textId="7777777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2CC19C8" w14:textId="77777777" w:rsidR="002202CF" w:rsidRPr="008C5B2E" w:rsidRDefault="00000000">
            <w:pPr>
              <w:spacing w:before="100" w:after="100"/>
              <w:ind w:left="100" w:right="100"/>
              <w:rPr>
                <w:rFonts w:cs="Arial"/>
              </w:rPr>
            </w:pPr>
            <w:r w:rsidRPr="008C5B2E">
              <w:rPr>
                <w:rFonts w:eastAsia="Arial" w:cs="Arial"/>
                <w:color w:val="000000"/>
                <w:sz w:val="22"/>
                <w:szCs w:val="22"/>
              </w:rPr>
              <w:t>Sub-Saharan Africa</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05DA02"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28</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A895C16"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34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29E9E45"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14.32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A2A9496"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15.0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E92F7F7"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8.07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73F7E6C"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9E1B7D9"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34</w:t>
            </w:r>
          </w:p>
        </w:tc>
      </w:tr>
    </w:tbl>
    <w:p w14:paraId="42E9EFB0" w14:textId="77777777" w:rsidR="002202CF" w:rsidRPr="008C5B2E" w:rsidRDefault="00000000">
      <w:pPr>
        <w:pStyle w:val="Textoindependiente"/>
        <w:rPr>
          <w:rFonts w:cs="Arial"/>
        </w:rPr>
      </w:pPr>
      <w:r w:rsidRPr="008C5B2E">
        <w:rPr>
          <w:rFonts w:cs="Arial"/>
        </w:rPr>
        <w:t>De las 1.818 observaciones año-transición consignadas en la muestra, 803 (el 44,2%) presentan al menos un mecanismo de justicia transicional operativo. Es decir, una ley de amnistía permanente, una comisión de verdad funcionando, o uno o más enjuiciamientos nuevos en contra de agentes estatales que violaron derechos humanos.</w:t>
      </w:r>
    </w:p>
    <w:p w14:paraId="239D001E" w14:textId="77777777" w:rsidR="002202CF" w:rsidRPr="008C5B2E" w:rsidRDefault="00000000">
      <w:pPr>
        <w:pStyle w:val="Ttulo2"/>
        <w:rPr>
          <w:rFonts w:cs="Arial"/>
        </w:rPr>
      </w:pPr>
      <w:bookmarkStart w:id="14" w:name="_Toc112536827"/>
      <w:bookmarkStart w:id="15" w:name="medidas-judiciales-juicios-y-amnistías"/>
      <w:bookmarkEnd w:id="13"/>
      <w:r w:rsidRPr="008C5B2E">
        <w:rPr>
          <w:rFonts w:cs="Arial"/>
        </w:rPr>
        <w:t>medidas judiciales: Juicios y amnistías</w:t>
      </w:r>
      <w:bookmarkEnd w:id="14"/>
    </w:p>
    <w:p w14:paraId="591A35D2" w14:textId="77777777" w:rsidR="002202CF" w:rsidRPr="008C5B2E" w:rsidRDefault="00000000">
      <w:pPr>
        <w:pStyle w:val="FirstParagraph"/>
        <w:rPr>
          <w:rFonts w:cs="Arial"/>
        </w:rPr>
      </w:pPr>
      <w:r w:rsidRPr="008C5B2E">
        <w:rPr>
          <w:rFonts w:cs="Arial"/>
        </w:rPr>
        <w:t>En cuanto a las medidas judiciales, los datos muestran que de las 111 transiciones democráticas presentes en la base de datos, 66 persiguieron al menos un enjuiciamiento y 41 aprobaron al menos una ley de amnistía. 28 emplearon alguna combinación de juicios y amnistías, mientras que 32 no usaron ninguna (ver tabla 1).</w:t>
      </w:r>
    </w:p>
    <w:p w14:paraId="5D8F9899" w14:textId="77777777" w:rsidR="002202CF" w:rsidRPr="008C5B2E" w:rsidRDefault="00000000">
      <w:pPr>
        <w:pStyle w:val="TableCaption"/>
        <w:rPr>
          <w:rFonts w:cs="Arial"/>
        </w:rPr>
      </w:pPr>
      <w:r w:rsidRPr="008C5B2E">
        <w:rPr>
          <w:rFonts w:cs="Arial"/>
          <w:b/>
        </w:rPr>
        <w:t xml:space="preserve">Table </w:t>
      </w:r>
      <w:r w:rsidRPr="008C5B2E">
        <w:rPr>
          <w:rFonts w:cs="Arial"/>
          <w:b/>
        </w:rPr>
        <w:fldChar w:fldCharType="begin"/>
      </w:r>
      <w:r w:rsidRPr="008C5B2E">
        <w:rPr>
          <w:rFonts w:cs="Arial"/>
          <w:b/>
        </w:rPr>
        <w:instrText>SEQ tab \* Arabic</w:instrText>
      </w:r>
      <w:r w:rsidRPr="008C5B2E">
        <w:rPr>
          <w:rFonts w:cs="Arial"/>
          <w:b/>
        </w:rPr>
        <w:fldChar w:fldCharType="separate"/>
      </w:r>
      <w:r w:rsidR="008C5B2E" w:rsidRPr="008C5B2E">
        <w:rPr>
          <w:rFonts w:cs="Arial"/>
          <w:b/>
          <w:noProof/>
        </w:rPr>
        <w:t>2</w:t>
      </w:r>
      <w:r w:rsidRPr="008C5B2E">
        <w:rPr>
          <w:rFonts w:cs="Arial"/>
          <w:b/>
        </w:rPr>
        <w:fldChar w:fldCharType="end"/>
      </w:r>
      <w:r w:rsidRPr="008C5B2E">
        <w:rPr>
          <w:rFonts w:cs="Arial"/>
        </w:rPr>
        <w:t>: Juicios vs Amnistías en las transiciones democráticas</w:t>
      </w:r>
    </w:p>
    <w:tbl>
      <w:tblPr>
        <w:tblW w:w="0" w:type="auto"/>
        <w:jc w:val="center"/>
        <w:tblLook w:val="0420" w:firstRow="1" w:lastRow="0" w:firstColumn="0" w:lastColumn="0" w:noHBand="0" w:noVBand="1"/>
      </w:tblPr>
      <w:tblGrid>
        <w:gridCol w:w="897"/>
        <w:gridCol w:w="639"/>
        <w:gridCol w:w="576"/>
        <w:gridCol w:w="726"/>
      </w:tblGrid>
      <w:tr w:rsidR="002202CF" w:rsidRPr="008C5B2E" w14:paraId="373B1D94" w14:textId="77777777">
        <w:trPr>
          <w:cantSplit/>
          <w:tblHeader/>
          <w:jc w:val="center"/>
        </w:trPr>
        <w:tc>
          <w:tcPr>
            <w:tcW w:w="0" w:type="auto"/>
            <w:tcBorders>
              <w:top w:val="single" w:sz="16" w:space="0" w:color="666666"/>
              <w:bottom w:val="single" w:sz="4" w:space="0" w:color="666666"/>
            </w:tcBorders>
            <w:shd w:val="clear" w:color="auto" w:fill="FFFFFF"/>
            <w:tcMar>
              <w:top w:w="0" w:type="dxa"/>
              <w:left w:w="0" w:type="dxa"/>
              <w:bottom w:w="0" w:type="dxa"/>
              <w:right w:w="0" w:type="dxa"/>
            </w:tcMar>
            <w:vAlign w:val="center"/>
          </w:tcPr>
          <w:p w14:paraId="68DE0138" w14:textId="77777777" w:rsidR="002202CF" w:rsidRPr="008C5B2E" w:rsidRDefault="00000000">
            <w:pPr>
              <w:spacing w:before="100" w:after="100"/>
              <w:ind w:left="100" w:right="100"/>
              <w:rPr>
                <w:rFonts w:cs="Arial"/>
              </w:rPr>
            </w:pPr>
            <w:r w:rsidRPr="008C5B2E">
              <w:rPr>
                <w:rFonts w:eastAsia="Arial" w:cs="Arial"/>
                <w:b/>
                <w:color w:val="000000"/>
                <w:sz w:val="22"/>
                <w:szCs w:val="22"/>
              </w:rPr>
              <w:t xml:space="preserve"> </w:t>
            </w:r>
          </w:p>
        </w:tc>
        <w:tc>
          <w:tcPr>
            <w:tcW w:w="0" w:type="auto"/>
            <w:gridSpan w:val="2"/>
            <w:tcBorders>
              <w:top w:val="single" w:sz="16" w:space="0" w:color="666666"/>
              <w:bottom w:val="single" w:sz="4" w:space="0" w:color="666666"/>
            </w:tcBorders>
            <w:shd w:val="clear" w:color="auto" w:fill="FFFFFF"/>
            <w:tcMar>
              <w:top w:w="0" w:type="dxa"/>
              <w:left w:w="0" w:type="dxa"/>
              <w:bottom w:w="0" w:type="dxa"/>
              <w:right w:w="0" w:type="dxa"/>
            </w:tcMar>
            <w:vAlign w:val="center"/>
          </w:tcPr>
          <w:p w14:paraId="27E1A0CE"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amnistías</w:t>
            </w:r>
          </w:p>
        </w:tc>
        <w:tc>
          <w:tcPr>
            <w:tcW w:w="0" w:type="auto"/>
            <w:tcBorders>
              <w:top w:val="single" w:sz="16" w:space="0" w:color="666666"/>
              <w:bottom w:val="single" w:sz="4" w:space="0" w:color="666666"/>
            </w:tcBorders>
            <w:shd w:val="clear" w:color="auto" w:fill="FFFFFF"/>
            <w:tcMar>
              <w:top w:w="0" w:type="dxa"/>
              <w:left w:w="0" w:type="dxa"/>
              <w:bottom w:w="0" w:type="dxa"/>
              <w:right w:w="0" w:type="dxa"/>
            </w:tcMar>
            <w:vAlign w:val="center"/>
          </w:tcPr>
          <w:p w14:paraId="15E2C20D"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 xml:space="preserve"> </w:t>
            </w:r>
          </w:p>
        </w:tc>
      </w:tr>
      <w:tr w:rsidR="002202CF" w:rsidRPr="008C5B2E" w14:paraId="36F9E647" w14:textId="77777777">
        <w:trPr>
          <w:cantSplit/>
          <w:tblHeader/>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EA7AB9" w14:textId="77777777" w:rsidR="002202CF" w:rsidRPr="008C5B2E" w:rsidRDefault="00000000">
            <w:pPr>
              <w:spacing w:before="100" w:after="100"/>
              <w:ind w:left="100" w:right="100"/>
              <w:rPr>
                <w:rFonts w:cs="Arial"/>
              </w:rPr>
            </w:pPr>
            <w:r w:rsidRPr="008C5B2E">
              <w:rPr>
                <w:rFonts w:eastAsia="Arial" w:cs="Arial"/>
                <w:b/>
                <w:color w:val="000000"/>
                <w:sz w:val="22"/>
                <w:szCs w:val="22"/>
              </w:rPr>
              <w:t>juicios</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B7301BE"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No</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616BDA7"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Sí</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766B2A"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Total</w:t>
            </w:r>
          </w:p>
        </w:tc>
      </w:tr>
      <w:tr w:rsidR="002202CF" w:rsidRPr="008C5B2E" w14:paraId="69720668" w14:textId="7777777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2C03F83A" w14:textId="77777777" w:rsidR="002202CF" w:rsidRPr="008C5B2E" w:rsidRDefault="00000000">
            <w:pPr>
              <w:spacing w:before="100" w:after="100"/>
              <w:ind w:left="100" w:right="100"/>
              <w:rPr>
                <w:rFonts w:cs="Arial"/>
              </w:rPr>
            </w:pPr>
            <w:r w:rsidRPr="008C5B2E">
              <w:rPr>
                <w:rFonts w:eastAsia="Arial" w:cs="Arial"/>
                <w:color w:val="000000"/>
                <w:sz w:val="22"/>
                <w:szCs w:val="22"/>
              </w:rPr>
              <w:t>No</w:t>
            </w:r>
          </w:p>
        </w:tc>
        <w:tc>
          <w:tcPr>
            <w:tcW w:w="0" w:type="auto"/>
            <w:tcBorders>
              <w:bottom w:val="single" w:sz="4" w:space="0" w:color="666666"/>
            </w:tcBorders>
            <w:shd w:val="clear" w:color="auto" w:fill="FFFFFF"/>
            <w:tcMar>
              <w:top w:w="0" w:type="dxa"/>
              <w:left w:w="0" w:type="dxa"/>
              <w:bottom w:w="0" w:type="dxa"/>
              <w:right w:w="0" w:type="dxa"/>
            </w:tcMar>
            <w:vAlign w:val="center"/>
          </w:tcPr>
          <w:p w14:paraId="2F56A47C"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32</w:t>
            </w:r>
          </w:p>
        </w:tc>
        <w:tc>
          <w:tcPr>
            <w:tcW w:w="0" w:type="auto"/>
            <w:tcBorders>
              <w:bottom w:val="single" w:sz="4" w:space="0" w:color="666666"/>
            </w:tcBorders>
            <w:shd w:val="clear" w:color="auto" w:fill="FFFFFF"/>
            <w:tcMar>
              <w:top w:w="0" w:type="dxa"/>
              <w:left w:w="0" w:type="dxa"/>
              <w:bottom w:w="0" w:type="dxa"/>
              <w:right w:w="0" w:type="dxa"/>
            </w:tcMar>
            <w:vAlign w:val="center"/>
          </w:tcPr>
          <w:p w14:paraId="29F0F39A"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13</w:t>
            </w:r>
          </w:p>
        </w:tc>
        <w:tc>
          <w:tcPr>
            <w:tcW w:w="0" w:type="auto"/>
            <w:tcBorders>
              <w:bottom w:val="single" w:sz="4" w:space="0" w:color="666666"/>
            </w:tcBorders>
            <w:shd w:val="clear" w:color="auto" w:fill="FFFFFF"/>
            <w:tcMar>
              <w:top w:w="0" w:type="dxa"/>
              <w:left w:w="0" w:type="dxa"/>
              <w:bottom w:w="0" w:type="dxa"/>
              <w:right w:w="0" w:type="dxa"/>
            </w:tcMar>
            <w:vAlign w:val="center"/>
          </w:tcPr>
          <w:p w14:paraId="1BBE2A86"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45</w:t>
            </w:r>
          </w:p>
        </w:tc>
      </w:tr>
      <w:tr w:rsidR="002202CF" w:rsidRPr="008C5B2E" w14:paraId="269BAAB7" w14:textId="7777777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6CB8AB" w14:textId="77777777" w:rsidR="002202CF" w:rsidRPr="008C5B2E" w:rsidRDefault="00000000">
            <w:pPr>
              <w:spacing w:before="100" w:after="100"/>
              <w:ind w:left="100" w:right="100"/>
              <w:rPr>
                <w:rFonts w:cs="Arial"/>
              </w:rPr>
            </w:pPr>
            <w:r w:rsidRPr="008C5B2E">
              <w:rPr>
                <w:rFonts w:eastAsia="Arial" w:cs="Arial"/>
                <w:color w:val="000000"/>
                <w:sz w:val="22"/>
                <w:szCs w:val="22"/>
              </w:rPr>
              <w:t>Sí</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F55FC0"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7043F"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AA0E7"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66</w:t>
            </w:r>
          </w:p>
        </w:tc>
      </w:tr>
      <w:tr w:rsidR="002202CF" w:rsidRPr="008C5B2E" w14:paraId="53C60AEF" w14:textId="7777777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CF0FE6E" w14:textId="77777777" w:rsidR="002202CF" w:rsidRPr="008C5B2E" w:rsidRDefault="00000000">
            <w:pPr>
              <w:spacing w:before="100" w:after="100"/>
              <w:ind w:left="100" w:right="100"/>
              <w:rPr>
                <w:rFonts w:cs="Arial"/>
              </w:rPr>
            </w:pPr>
            <w:r w:rsidRPr="008C5B2E">
              <w:rPr>
                <w:rFonts w:eastAsia="Arial" w:cs="Arial"/>
                <w:color w:val="000000"/>
                <w:sz w:val="22"/>
                <w:szCs w:val="22"/>
              </w:rPr>
              <w:t>Total</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45D9489"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70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51805B1"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41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9F1A6F"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111</w:t>
            </w:r>
          </w:p>
        </w:tc>
      </w:tr>
    </w:tbl>
    <w:p w14:paraId="6F9E6144" w14:textId="77777777" w:rsidR="002202CF" w:rsidRPr="008C5B2E" w:rsidRDefault="00000000">
      <w:pPr>
        <w:pStyle w:val="TableCaption"/>
        <w:rPr>
          <w:rFonts w:cs="Arial"/>
        </w:rPr>
      </w:pPr>
      <w:r w:rsidRPr="008C5B2E">
        <w:rPr>
          <w:rFonts w:cs="Arial"/>
          <w:b/>
        </w:rPr>
        <w:t xml:space="preserve">Table </w:t>
      </w:r>
      <w:r w:rsidRPr="008C5B2E">
        <w:rPr>
          <w:rFonts w:cs="Arial"/>
          <w:b/>
        </w:rPr>
        <w:fldChar w:fldCharType="begin"/>
      </w:r>
      <w:r w:rsidRPr="008C5B2E">
        <w:rPr>
          <w:rFonts w:cs="Arial"/>
          <w:b/>
        </w:rPr>
        <w:instrText>SEQ tab \* Arabic</w:instrText>
      </w:r>
      <w:r w:rsidRPr="008C5B2E">
        <w:rPr>
          <w:rFonts w:cs="Arial"/>
          <w:b/>
        </w:rPr>
        <w:fldChar w:fldCharType="separate"/>
      </w:r>
      <w:r w:rsidR="008C5B2E" w:rsidRPr="008C5B2E">
        <w:rPr>
          <w:rFonts w:cs="Arial"/>
          <w:b/>
          <w:noProof/>
        </w:rPr>
        <w:t>3</w:t>
      </w:r>
      <w:r w:rsidRPr="008C5B2E">
        <w:rPr>
          <w:rFonts w:cs="Arial"/>
          <w:b/>
        </w:rPr>
        <w:fldChar w:fldCharType="end"/>
      </w:r>
      <w:r w:rsidRPr="008C5B2E">
        <w:rPr>
          <w:rFonts w:cs="Arial"/>
        </w:rPr>
        <w:t>: Juicios vs Sentencias en las transiciones democráticas</w:t>
      </w:r>
    </w:p>
    <w:tbl>
      <w:tblPr>
        <w:tblW w:w="0" w:type="auto"/>
        <w:jc w:val="center"/>
        <w:tblLayout w:type="fixed"/>
        <w:tblLook w:val="0420" w:firstRow="1" w:lastRow="0" w:firstColumn="0" w:lastColumn="0" w:noHBand="0" w:noVBand="1"/>
      </w:tblPr>
      <w:tblGrid>
        <w:gridCol w:w="1080"/>
        <w:gridCol w:w="1080"/>
        <w:gridCol w:w="1080"/>
        <w:gridCol w:w="1080"/>
      </w:tblGrid>
      <w:tr w:rsidR="002202CF" w:rsidRPr="008C5B2E" w14:paraId="58B70FDA" w14:textId="77777777">
        <w:trPr>
          <w:cantSplit/>
          <w:tblHeader/>
          <w:jc w:val="center"/>
        </w:trPr>
        <w:tc>
          <w:tcPr>
            <w:tcW w:w="1080" w:type="dxa"/>
            <w:tcBorders>
              <w:top w:val="single" w:sz="16" w:space="0" w:color="666666"/>
              <w:bottom w:val="single" w:sz="4" w:space="0" w:color="666666"/>
            </w:tcBorders>
            <w:shd w:val="clear" w:color="auto" w:fill="FFFFFF"/>
            <w:tcMar>
              <w:top w:w="0" w:type="dxa"/>
              <w:left w:w="0" w:type="dxa"/>
              <w:bottom w:w="0" w:type="dxa"/>
              <w:right w:w="0" w:type="dxa"/>
            </w:tcMar>
            <w:vAlign w:val="center"/>
          </w:tcPr>
          <w:p w14:paraId="2A0663DE" w14:textId="77777777" w:rsidR="002202CF" w:rsidRPr="008C5B2E" w:rsidRDefault="00000000">
            <w:pPr>
              <w:spacing w:before="100" w:after="100"/>
              <w:ind w:left="100" w:right="100"/>
              <w:rPr>
                <w:rFonts w:cs="Arial"/>
              </w:rPr>
            </w:pPr>
            <w:r w:rsidRPr="008C5B2E">
              <w:rPr>
                <w:rFonts w:eastAsia="Arial" w:cs="Arial"/>
                <w:b/>
                <w:color w:val="000000"/>
                <w:sz w:val="22"/>
                <w:szCs w:val="22"/>
              </w:rPr>
              <w:t xml:space="preserve"> </w:t>
            </w:r>
          </w:p>
        </w:tc>
        <w:tc>
          <w:tcPr>
            <w:tcW w:w="2160" w:type="dxa"/>
            <w:gridSpan w:val="2"/>
            <w:tcBorders>
              <w:top w:val="single" w:sz="16" w:space="0" w:color="666666"/>
              <w:bottom w:val="single" w:sz="4" w:space="0" w:color="666666"/>
            </w:tcBorders>
            <w:shd w:val="clear" w:color="auto" w:fill="FFFFFF"/>
            <w:tcMar>
              <w:top w:w="0" w:type="dxa"/>
              <w:left w:w="0" w:type="dxa"/>
              <w:bottom w:w="0" w:type="dxa"/>
              <w:right w:w="0" w:type="dxa"/>
            </w:tcMar>
            <w:vAlign w:val="center"/>
          </w:tcPr>
          <w:p w14:paraId="5232005B"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sentencias</w:t>
            </w:r>
          </w:p>
        </w:tc>
        <w:tc>
          <w:tcPr>
            <w:tcW w:w="1080" w:type="dxa"/>
            <w:tcBorders>
              <w:top w:val="single" w:sz="16" w:space="0" w:color="666666"/>
              <w:bottom w:val="single" w:sz="4" w:space="0" w:color="666666"/>
            </w:tcBorders>
            <w:shd w:val="clear" w:color="auto" w:fill="FFFFFF"/>
            <w:tcMar>
              <w:top w:w="0" w:type="dxa"/>
              <w:left w:w="0" w:type="dxa"/>
              <w:bottom w:w="0" w:type="dxa"/>
              <w:right w:w="0" w:type="dxa"/>
            </w:tcMar>
            <w:vAlign w:val="center"/>
          </w:tcPr>
          <w:p w14:paraId="6344928D"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 xml:space="preserve"> </w:t>
            </w:r>
          </w:p>
        </w:tc>
      </w:tr>
      <w:tr w:rsidR="002202CF" w:rsidRPr="008C5B2E" w14:paraId="245B7FA5" w14:textId="77777777">
        <w:trPr>
          <w:cantSplit/>
          <w:tblHeader/>
          <w:jc w:val="center"/>
        </w:trPr>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E7F5DE" w14:textId="77777777" w:rsidR="002202CF" w:rsidRPr="008C5B2E" w:rsidRDefault="00000000">
            <w:pPr>
              <w:spacing w:before="100" w:after="100"/>
              <w:ind w:left="100" w:right="100"/>
              <w:rPr>
                <w:rFonts w:cs="Arial"/>
              </w:rPr>
            </w:pPr>
            <w:r w:rsidRPr="008C5B2E">
              <w:rPr>
                <w:rFonts w:eastAsia="Arial" w:cs="Arial"/>
                <w:b/>
                <w:color w:val="000000"/>
                <w:sz w:val="22"/>
                <w:szCs w:val="22"/>
              </w:rPr>
              <w:t>juicios</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CFE6B1"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No</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4D1F21D"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Sí</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5421CE7"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Total</w:t>
            </w:r>
          </w:p>
        </w:tc>
      </w:tr>
      <w:tr w:rsidR="002202CF" w:rsidRPr="008C5B2E" w14:paraId="11C70EC8" w14:textId="77777777">
        <w:trPr>
          <w:cantSplit/>
          <w:jc w:val="center"/>
        </w:trPr>
        <w:tc>
          <w:tcPr>
            <w:tcW w:w="1080" w:type="dxa"/>
            <w:tcBorders>
              <w:bottom w:val="single" w:sz="4" w:space="0" w:color="666666"/>
            </w:tcBorders>
            <w:shd w:val="clear" w:color="auto" w:fill="FFFFFF"/>
            <w:tcMar>
              <w:top w:w="0" w:type="dxa"/>
              <w:left w:w="0" w:type="dxa"/>
              <w:bottom w:w="0" w:type="dxa"/>
              <w:right w:w="0" w:type="dxa"/>
            </w:tcMar>
            <w:vAlign w:val="center"/>
          </w:tcPr>
          <w:p w14:paraId="653C997B" w14:textId="77777777" w:rsidR="002202CF" w:rsidRPr="008C5B2E" w:rsidRDefault="00000000">
            <w:pPr>
              <w:spacing w:before="100" w:after="100"/>
              <w:ind w:left="100" w:right="100"/>
              <w:rPr>
                <w:rFonts w:cs="Arial"/>
              </w:rPr>
            </w:pPr>
            <w:r w:rsidRPr="008C5B2E">
              <w:rPr>
                <w:rFonts w:eastAsia="Arial" w:cs="Arial"/>
                <w:color w:val="000000"/>
                <w:sz w:val="22"/>
                <w:szCs w:val="22"/>
              </w:rPr>
              <w:t>No</w:t>
            </w:r>
          </w:p>
        </w:tc>
        <w:tc>
          <w:tcPr>
            <w:tcW w:w="1080" w:type="dxa"/>
            <w:tcBorders>
              <w:bottom w:val="single" w:sz="4" w:space="0" w:color="666666"/>
            </w:tcBorders>
            <w:shd w:val="clear" w:color="auto" w:fill="FFFFFF"/>
            <w:tcMar>
              <w:top w:w="0" w:type="dxa"/>
              <w:left w:w="0" w:type="dxa"/>
              <w:bottom w:w="0" w:type="dxa"/>
              <w:right w:w="0" w:type="dxa"/>
            </w:tcMar>
            <w:vAlign w:val="center"/>
          </w:tcPr>
          <w:p w14:paraId="60D8FAE5"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45</w:t>
            </w:r>
          </w:p>
        </w:tc>
        <w:tc>
          <w:tcPr>
            <w:tcW w:w="1080" w:type="dxa"/>
            <w:tcBorders>
              <w:bottom w:val="single" w:sz="4" w:space="0" w:color="666666"/>
            </w:tcBorders>
            <w:shd w:val="clear" w:color="auto" w:fill="FFFFFF"/>
            <w:tcMar>
              <w:top w:w="0" w:type="dxa"/>
              <w:left w:w="0" w:type="dxa"/>
              <w:bottom w:w="0" w:type="dxa"/>
              <w:right w:w="0" w:type="dxa"/>
            </w:tcMar>
            <w:vAlign w:val="center"/>
          </w:tcPr>
          <w:p w14:paraId="7F1DFCA7" w14:textId="77777777" w:rsidR="002202CF" w:rsidRPr="008C5B2E" w:rsidRDefault="002202CF">
            <w:pPr>
              <w:spacing w:before="100" w:after="100"/>
              <w:ind w:left="100" w:right="100"/>
              <w:jc w:val="right"/>
              <w:rPr>
                <w:rFonts w:cs="Arial"/>
              </w:rPr>
            </w:pPr>
          </w:p>
        </w:tc>
        <w:tc>
          <w:tcPr>
            <w:tcW w:w="1080" w:type="dxa"/>
            <w:tcBorders>
              <w:bottom w:val="single" w:sz="4" w:space="0" w:color="666666"/>
            </w:tcBorders>
            <w:shd w:val="clear" w:color="auto" w:fill="FFFFFF"/>
            <w:tcMar>
              <w:top w:w="0" w:type="dxa"/>
              <w:left w:w="0" w:type="dxa"/>
              <w:bottom w:w="0" w:type="dxa"/>
              <w:right w:w="0" w:type="dxa"/>
            </w:tcMar>
            <w:vAlign w:val="center"/>
          </w:tcPr>
          <w:p w14:paraId="3C728E3A"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45</w:t>
            </w:r>
          </w:p>
        </w:tc>
      </w:tr>
      <w:tr w:rsidR="002202CF" w:rsidRPr="008C5B2E" w14:paraId="2593495B" w14:textId="77777777">
        <w:trPr>
          <w:cantSplit/>
          <w:jc w:val="center"/>
        </w:trPr>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EBB9E" w14:textId="77777777" w:rsidR="002202CF" w:rsidRPr="008C5B2E" w:rsidRDefault="00000000">
            <w:pPr>
              <w:spacing w:before="100" w:after="100"/>
              <w:ind w:left="100" w:right="100"/>
              <w:rPr>
                <w:rFonts w:cs="Arial"/>
              </w:rPr>
            </w:pPr>
            <w:r w:rsidRPr="008C5B2E">
              <w:rPr>
                <w:rFonts w:eastAsia="Arial" w:cs="Arial"/>
                <w:color w:val="000000"/>
                <w:sz w:val="22"/>
                <w:szCs w:val="22"/>
              </w:rPr>
              <w:t>Sí</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C04F47"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14</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AE1715"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52</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B8549F"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66</w:t>
            </w:r>
          </w:p>
        </w:tc>
      </w:tr>
      <w:tr w:rsidR="002202CF" w:rsidRPr="008C5B2E" w14:paraId="365AD1EB" w14:textId="77777777">
        <w:trPr>
          <w:cantSplit/>
          <w:jc w:val="center"/>
        </w:trPr>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E71E9A0" w14:textId="77777777" w:rsidR="002202CF" w:rsidRPr="008C5B2E" w:rsidRDefault="00000000">
            <w:pPr>
              <w:spacing w:before="100" w:after="100"/>
              <w:ind w:left="100" w:right="100"/>
              <w:rPr>
                <w:rFonts w:cs="Arial"/>
              </w:rPr>
            </w:pPr>
            <w:r w:rsidRPr="008C5B2E">
              <w:rPr>
                <w:rFonts w:eastAsia="Arial" w:cs="Arial"/>
                <w:color w:val="000000"/>
                <w:sz w:val="22"/>
                <w:szCs w:val="22"/>
              </w:rPr>
              <w:t>Total</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1C5022"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59</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03AD3E3"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52</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BDF7366"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111</w:t>
            </w:r>
          </w:p>
        </w:tc>
      </w:tr>
    </w:tbl>
    <w:p w14:paraId="5533F13F" w14:textId="77777777" w:rsidR="002202CF" w:rsidRPr="008C5B2E" w:rsidRDefault="00000000">
      <w:pPr>
        <w:pStyle w:val="Textoindependiente"/>
        <w:rPr>
          <w:rFonts w:cs="Arial"/>
        </w:rPr>
      </w:pPr>
      <w:r w:rsidRPr="008C5B2E">
        <w:rPr>
          <w:rFonts w:cs="Arial"/>
        </w:rPr>
        <w:lastRenderedPageBreak/>
        <w:t>Entre 1970 y 2011, el número de juicios y sentencias condenatorias a criminales de lesa humanidad ha ido aumentando a un ritmo consierablemente más rápido que el de las amnistías. Algunos académicos describen este fenómeno como la “cascada de la justicia transicional”, el cual se caracteriza por mejorar considerablemente los niveles de re…</w:t>
      </w:r>
    </w:p>
    <w:p w14:paraId="44BAE5AA" w14:textId="77777777" w:rsidR="002202CF" w:rsidRPr="008C5B2E" w:rsidRDefault="00000000">
      <w:pPr>
        <w:pStyle w:val="Textoindependiente"/>
        <w:rPr>
          <w:rFonts w:cs="Arial"/>
        </w:rPr>
      </w:pPr>
      <w:r w:rsidRPr="008C5B2E">
        <w:rPr>
          <w:rFonts w:cs="Arial"/>
          <w:noProof/>
        </w:rPr>
        <w:drawing>
          <wp:inline distT="0" distB="0" distL="0" distR="0" wp14:anchorId="1387DD0F" wp14:editId="5E383627">
            <wp:extent cx="5600700" cy="280035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nforme_4_files/figure-docx/unnamed-chunk-3-1.png"/>
                    <pic:cNvPicPr>
                      <a:picLocks noChangeAspect="1" noChangeArrowheads="1"/>
                    </pic:cNvPicPr>
                  </pic:nvPicPr>
                  <pic:blipFill>
                    <a:blip r:embed="rId9"/>
                    <a:stretch>
                      <a:fillRect/>
                    </a:stretch>
                  </pic:blipFill>
                  <pic:spPr bwMode="auto">
                    <a:xfrm>
                      <a:off x="0" y="0"/>
                      <a:ext cx="5600700" cy="2800350"/>
                    </a:xfrm>
                    <a:prstGeom prst="rect">
                      <a:avLst/>
                    </a:prstGeom>
                    <a:noFill/>
                    <a:ln w="9525">
                      <a:noFill/>
                      <a:headEnd/>
                      <a:tailEnd/>
                    </a:ln>
                  </pic:spPr>
                </pic:pic>
              </a:graphicData>
            </a:graphic>
          </wp:inline>
        </w:drawing>
      </w:r>
    </w:p>
    <w:p w14:paraId="51097430" w14:textId="77777777" w:rsidR="002202CF" w:rsidRPr="008C5B2E" w:rsidRDefault="00000000">
      <w:pPr>
        <w:pStyle w:val="Textoindependiente"/>
        <w:rPr>
          <w:rFonts w:cs="Arial"/>
        </w:rPr>
      </w:pPr>
      <w:r w:rsidRPr="008C5B2E">
        <w:rPr>
          <w:rFonts w:cs="Arial"/>
        </w:rPr>
        <w:t xml:space="preserve">[1] 4.798165 [1] 2.513761 [1] 1 [1] 0 </w:t>
      </w:r>
      <w:r w:rsidRPr="008C5B2E">
        <w:rPr>
          <w:rFonts w:cs="Arial"/>
          <w:noProof/>
        </w:rPr>
        <w:drawing>
          <wp:inline distT="0" distB="0" distL="0" distR="0" wp14:anchorId="2D826EBB" wp14:editId="7FDEB95F">
            <wp:extent cx="5600700" cy="28003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nforme_4_files/figure-docx/unnamed-chunk-4-1.png"/>
                    <pic:cNvPicPr>
                      <a:picLocks noChangeAspect="1" noChangeArrowheads="1"/>
                    </pic:cNvPicPr>
                  </pic:nvPicPr>
                  <pic:blipFill>
                    <a:blip r:embed="rId10"/>
                    <a:stretch>
                      <a:fillRect/>
                    </a:stretch>
                  </pic:blipFill>
                  <pic:spPr bwMode="auto">
                    <a:xfrm>
                      <a:off x="0" y="0"/>
                      <a:ext cx="5600700" cy="2800350"/>
                    </a:xfrm>
                    <a:prstGeom prst="rect">
                      <a:avLst/>
                    </a:prstGeom>
                    <a:noFill/>
                    <a:ln w="9525">
                      <a:noFill/>
                      <a:headEnd/>
                      <a:tailEnd/>
                    </a:ln>
                  </pic:spPr>
                </pic:pic>
              </a:graphicData>
            </a:graphic>
          </wp:inline>
        </w:drawing>
      </w:r>
    </w:p>
    <w:p w14:paraId="72BB2F93" w14:textId="77777777" w:rsidR="002202CF" w:rsidRPr="008C5B2E" w:rsidRDefault="00000000">
      <w:pPr>
        <w:pStyle w:val="Ttulo2"/>
        <w:rPr>
          <w:rFonts w:cs="Arial"/>
        </w:rPr>
      </w:pPr>
      <w:bookmarkStart w:id="16" w:name="_Toc112536828"/>
      <w:bookmarkStart w:id="17" w:name="medidas-no-judiciales-comisiones"/>
      <w:bookmarkEnd w:id="15"/>
      <w:r w:rsidRPr="008C5B2E">
        <w:rPr>
          <w:rFonts w:cs="Arial"/>
        </w:rPr>
        <w:lastRenderedPageBreak/>
        <w:t>Medidas no judiciales: comisiones</w:t>
      </w:r>
      <w:bookmarkEnd w:id="16"/>
    </w:p>
    <w:p w14:paraId="121D07F3" w14:textId="77777777" w:rsidR="002202CF" w:rsidRPr="008C5B2E" w:rsidRDefault="00000000">
      <w:pPr>
        <w:pStyle w:val="FirstParagraph"/>
        <w:rPr>
          <w:rFonts w:cs="Arial"/>
        </w:rPr>
      </w:pPr>
      <w:r w:rsidRPr="008C5B2E">
        <w:rPr>
          <w:rFonts w:cs="Arial"/>
        </w:rPr>
        <w:t>Según los datos recogidos, 33 transiciones democráticas experimentaron con al menos una comisión de verdad. De ellas, 18 conocieron al menos un informe público con recomendaciones para garantizar la no repetición de los derechos humanos: 7 transiciones recibieron al menos una recomendación de reformas institucionales, 7 recibieron recomendaciones de enjuiciamientos a violadores de derechos humanos, y 4 recibieron recomendaciones que combinan ambos mecanismos.</w:t>
      </w:r>
    </w:p>
    <w:p w14:paraId="7EC6BE54" w14:textId="77777777" w:rsidR="002202CF" w:rsidRPr="008C5B2E" w:rsidRDefault="00000000">
      <w:pPr>
        <w:pStyle w:val="TableCaption"/>
        <w:rPr>
          <w:rFonts w:cs="Arial"/>
        </w:rPr>
      </w:pPr>
      <w:r w:rsidRPr="008C5B2E">
        <w:rPr>
          <w:rFonts w:cs="Arial"/>
          <w:b/>
        </w:rPr>
        <w:t xml:space="preserve">Table </w:t>
      </w:r>
      <w:r w:rsidRPr="008C5B2E">
        <w:rPr>
          <w:rFonts w:cs="Arial"/>
          <w:b/>
        </w:rPr>
        <w:fldChar w:fldCharType="begin"/>
      </w:r>
      <w:r w:rsidRPr="008C5B2E">
        <w:rPr>
          <w:rFonts w:cs="Arial"/>
          <w:b/>
        </w:rPr>
        <w:instrText>SEQ tab \* Arabic</w:instrText>
      </w:r>
      <w:r w:rsidRPr="008C5B2E">
        <w:rPr>
          <w:rFonts w:cs="Arial"/>
          <w:b/>
        </w:rPr>
        <w:fldChar w:fldCharType="separate"/>
      </w:r>
      <w:r w:rsidR="008C5B2E" w:rsidRPr="008C5B2E">
        <w:rPr>
          <w:rFonts w:cs="Arial"/>
          <w:b/>
          <w:noProof/>
        </w:rPr>
        <w:t>4</w:t>
      </w:r>
      <w:r w:rsidRPr="008C5B2E">
        <w:rPr>
          <w:rFonts w:cs="Arial"/>
          <w:b/>
        </w:rPr>
        <w:fldChar w:fldCharType="end"/>
      </w:r>
      <w:r w:rsidRPr="008C5B2E">
        <w:rPr>
          <w:rFonts w:cs="Arial"/>
        </w:rPr>
        <w:t>: Comisiones vs Recomendaciones en las transiciones democráticas</w:t>
      </w:r>
    </w:p>
    <w:tbl>
      <w:tblPr>
        <w:tblW w:w="0" w:type="auto"/>
        <w:jc w:val="center"/>
        <w:tblLayout w:type="fixed"/>
        <w:tblLook w:val="0420" w:firstRow="1" w:lastRow="0" w:firstColumn="0" w:lastColumn="0" w:noHBand="0" w:noVBand="1"/>
      </w:tblPr>
      <w:tblGrid>
        <w:gridCol w:w="1080"/>
        <w:gridCol w:w="1080"/>
        <w:gridCol w:w="1080"/>
        <w:gridCol w:w="1080"/>
      </w:tblGrid>
      <w:tr w:rsidR="002202CF" w:rsidRPr="008C5B2E" w14:paraId="7088D950" w14:textId="77777777">
        <w:trPr>
          <w:cantSplit/>
          <w:tblHeader/>
          <w:jc w:val="center"/>
        </w:trPr>
        <w:tc>
          <w:tcPr>
            <w:tcW w:w="1080" w:type="dxa"/>
            <w:tcBorders>
              <w:top w:val="single" w:sz="16" w:space="0" w:color="666666"/>
              <w:bottom w:val="single" w:sz="4" w:space="0" w:color="666666"/>
            </w:tcBorders>
            <w:shd w:val="clear" w:color="auto" w:fill="FFFFFF"/>
            <w:tcMar>
              <w:top w:w="0" w:type="dxa"/>
              <w:left w:w="0" w:type="dxa"/>
              <w:bottom w:w="0" w:type="dxa"/>
              <w:right w:w="0" w:type="dxa"/>
            </w:tcMar>
            <w:vAlign w:val="center"/>
          </w:tcPr>
          <w:p w14:paraId="2980A08A" w14:textId="77777777" w:rsidR="002202CF" w:rsidRPr="008C5B2E" w:rsidRDefault="00000000">
            <w:pPr>
              <w:spacing w:before="100" w:after="100"/>
              <w:ind w:left="100" w:right="100"/>
              <w:rPr>
                <w:rFonts w:cs="Arial"/>
              </w:rPr>
            </w:pPr>
            <w:r w:rsidRPr="008C5B2E">
              <w:rPr>
                <w:rFonts w:eastAsia="Arial" w:cs="Arial"/>
                <w:b/>
                <w:color w:val="000000"/>
                <w:sz w:val="22"/>
                <w:szCs w:val="22"/>
              </w:rPr>
              <w:t xml:space="preserve"> </w:t>
            </w:r>
          </w:p>
        </w:tc>
        <w:tc>
          <w:tcPr>
            <w:tcW w:w="2160" w:type="dxa"/>
            <w:gridSpan w:val="2"/>
            <w:tcBorders>
              <w:top w:val="single" w:sz="16" w:space="0" w:color="666666"/>
              <w:bottom w:val="single" w:sz="4" w:space="0" w:color="666666"/>
            </w:tcBorders>
            <w:shd w:val="clear" w:color="auto" w:fill="FFFFFF"/>
            <w:tcMar>
              <w:top w:w="0" w:type="dxa"/>
              <w:left w:w="0" w:type="dxa"/>
              <w:bottom w:w="0" w:type="dxa"/>
              <w:right w:w="0" w:type="dxa"/>
            </w:tcMar>
            <w:vAlign w:val="center"/>
          </w:tcPr>
          <w:p w14:paraId="469BAA12"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recomendaciones</w:t>
            </w:r>
          </w:p>
        </w:tc>
        <w:tc>
          <w:tcPr>
            <w:tcW w:w="1080" w:type="dxa"/>
            <w:tcBorders>
              <w:top w:val="single" w:sz="16" w:space="0" w:color="666666"/>
              <w:bottom w:val="single" w:sz="4" w:space="0" w:color="666666"/>
            </w:tcBorders>
            <w:shd w:val="clear" w:color="auto" w:fill="FFFFFF"/>
            <w:tcMar>
              <w:top w:w="0" w:type="dxa"/>
              <w:left w:w="0" w:type="dxa"/>
              <w:bottom w:w="0" w:type="dxa"/>
              <w:right w:w="0" w:type="dxa"/>
            </w:tcMar>
            <w:vAlign w:val="center"/>
          </w:tcPr>
          <w:p w14:paraId="5CD84982"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 xml:space="preserve"> </w:t>
            </w:r>
          </w:p>
        </w:tc>
      </w:tr>
      <w:tr w:rsidR="002202CF" w:rsidRPr="008C5B2E" w14:paraId="40C7756C" w14:textId="77777777">
        <w:trPr>
          <w:cantSplit/>
          <w:tblHeader/>
          <w:jc w:val="center"/>
        </w:trPr>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D05D124" w14:textId="77777777" w:rsidR="002202CF" w:rsidRPr="008C5B2E" w:rsidRDefault="00000000">
            <w:pPr>
              <w:spacing w:before="100" w:after="100"/>
              <w:ind w:left="100" w:right="100"/>
              <w:rPr>
                <w:rFonts w:cs="Arial"/>
              </w:rPr>
            </w:pPr>
            <w:r w:rsidRPr="008C5B2E">
              <w:rPr>
                <w:rFonts w:eastAsia="Arial" w:cs="Arial"/>
                <w:b/>
                <w:color w:val="000000"/>
                <w:sz w:val="22"/>
                <w:szCs w:val="22"/>
              </w:rPr>
              <w:t>comisiones</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352E50"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No</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A3EA3E7"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Sí</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022C40A"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Total</w:t>
            </w:r>
          </w:p>
        </w:tc>
      </w:tr>
      <w:tr w:rsidR="002202CF" w:rsidRPr="008C5B2E" w14:paraId="7B02E50E" w14:textId="77777777">
        <w:trPr>
          <w:cantSplit/>
          <w:jc w:val="center"/>
        </w:trPr>
        <w:tc>
          <w:tcPr>
            <w:tcW w:w="1080" w:type="dxa"/>
            <w:tcBorders>
              <w:bottom w:val="single" w:sz="4" w:space="0" w:color="666666"/>
            </w:tcBorders>
            <w:shd w:val="clear" w:color="auto" w:fill="FFFFFF"/>
            <w:tcMar>
              <w:top w:w="0" w:type="dxa"/>
              <w:left w:w="0" w:type="dxa"/>
              <w:bottom w:w="0" w:type="dxa"/>
              <w:right w:w="0" w:type="dxa"/>
            </w:tcMar>
            <w:vAlign w:val="center"/>
          </w:tcPr>
          <w:p w14:paraId="3EF07625" w14:textId="77777777" w:rsidR="002202CF" w:rsidRPr="008C5B2E" w:rsidRDefault="00000000">
            <w:pPr>
              <w:spacing w:before="100" w:after="100"/>
              <w:ind w:left="100" w:right="100"/>
              <w:rPr>
                <w:rFonts w:cs="Arial"/>
              </w:rPr>
            </w:pPr>
            <w:r w:rsidRPr="008C5B2E">
              <w:rPr>
                <w:rFonts w:eastAsia="Arial" w:cs="Arial"/>
                <w:color w:val="000000"/>
                <w:sz w:val="22"/>
                <w:szCs w:val="22"/>
              </w:rPr>
              <w:t>No</w:t>
            </w:r>
          </w:p>
        </w:tc>
        <w:tc>
          <w:tcPr>
            <w:tcW w:w="1080" w:type="dxa"/>
            <w:tcBorders>
              <w:bottom w:val="single" w:sz="4" w:space="0" w:color="666666"/>
            </w:tcBorders>
            <w:shd w:val="clear" w:color="auto" w:fill="FFFFFF"/>
            <w:tcMar>
              <w:top w:w="0" w:type="dxa"/>
              <w:left w:w="0" w:type="dxa"/>
              <w:bottom w:w="0" w:type="dxa"/>
              <w:right w:w="0" w:type="dxa"/>
            </w:tcMar>
            <w:vAlign w:val="center"/>
          </w:tcPr>
          <w:p w14:paraId="29F12EFA"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78</w:t>
            </w:r>
          </w:p>
        </w:tc>
        <w:tc>
          <w:tcPr>
            <w:tcW w:w="1080" w:type="dxa"/>
            <w:tcBorders>
              <w:bottom w:val="single" w:sz="4" w:space="0" w:color="666666"/>
            </w:tcBorders>
            <w:shd w:val="clear" w:color="auto" w:fill="FFFFFF"/>
            <w:tcMar>
              <w:top w:w="0" w:type="dxa"/>
              <w:left w:w="0" w:type="dxa"/>
              <w:bottom w:w="0" w:type="dxa"/>
              <w:right w:w="0" w:type="dxa"/>
            </w:tcMar>
            <w:vAlign w:val="center"/>
          </w:tcPr>
          <w:p w14:paraId="24A3F5E1" w14:textId="77777777" w:rsidR="002202CF" w:rsidRPr="008C5B2E" w:rsidRDefault="002202CF">
            <w:pPr>
              <w:spacing w:before="100" w:after="100"/>
              <w:ind w:left="100" w:right="100"/>
              <w:jc w:val="right"/>
              <w:rPr>
                <w:rFonts w:cs="Arial"/>
              </w:rPr>
            </w:pPr>
          </w:p>
        </w:tc>
        <w:tc>
          <w:tcPr>
            <w:tcW w:w="1080" w:type="dxa"/>
            <w:tcBorders>
              <w:bottom w:val="single" w:sz="4" w:space="0" w:color="666666"/>
            </w:tcBorders>
            <w:shd w:val="clear" w:color="auto" w:fill="FFFFFF"/>
            <w:tcMar>
              <w:top w:w="0" w:type="dxa"/>
              <w:left w:w="0" w:type="dxa"/>
              <w:bottom w:w="0" w:type="dxa"/>
              <w:right w:w="0" w:type="dxa"/>
            </w:tcMar>
            <w:vAlign w:val="center"/>
          </w:tcPr>
          <w:p w14:paraId="411C7009"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78</w:t>
            </w:r>
          </w:p>
        </w:tc>
      </w:tr>
      <w:tr w:rsidR="002202CF" w:rsidRPr="008C5B2E" w14:paraId="313B917F" w14:textId="77777777">
        <w:trPr>
          <w:cantSplit/>
          <w:jc w:val="center"/>
        </w:trPr>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1A377B" w14:textId="77777777" w:rsidR="002202CF" w:rsidRPr="008C5B2E" w:rsidRDefault="00000000">
            <w:pPr>
              <w:spacing w:before="100" w:after="100"/>
              <w:ind w:left="100" w:right="100"/>
              <w:rPr>
                <w:rFonts w:cs="Arial"/>
              </w:rPr>
            </w:pPr>
            <w:r w:rsidRPr="008C5B2E">
              <w:rPr>
                <w:rFonts w:eastAsia="Arial" w:cs="Arial"/>
                <w:color w:val="000000"/>
                <w:sz w:val="22"/>
                <w:szCs w:val="22"/>
              </w:rPr>
              <w:t>Sí</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CF4B04"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15</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7DB06B"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18</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E5DC26"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33</w:t>
            </w:r>
          </w:p>
        </w:tc>
      </w:tr>
      <w:tr w:rsidR="002202CF" w:rsidRPr="008C5B2E" w14:paraId="663FEF59" w14:textId="77777777">
        <w:trPr>
          <w:cantSplit/>
          <w:jc w:val="center"/>
        </w:trPr>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4979FF" w14:textId="77777777" w:rsidR="002202CF" w:rsidRPr="008C5B2E" w:rsidRDefault="00000000">
            <w:pPr>
              <w:spacing w:before="100" w:after="100"/>
              <w:ind w:left="100" w:right="100"/>
              <w:rPr>
                <w:rFonts w:cs="Arial"/>
              </w:rPr>
            </w:pPr>
            <w:r w:rsidRPr="008C5B2E">
              <w:rPr>
                <w:rFonts w:eastAsia="Arial" w:cs="Arial"/>
                <w:color w:val="000000"/>
                <w:sz w:val="22"/>
                <w:szCs w:val="22"/>
              </w:rPr>
              <w:t>Total</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EDA02B3"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93</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CA68FC8"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18</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CE69DC8"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111</w:t>
            </w:r>
          </w:p>
        </w:tc>
      </w:tr>
    </w:tbl>
    <w:p w14:paraId="3DCE268A" w14:textId="77777777" w:rsidR="002202CF" w:rsidRPr="008C5B2E" w:rsidRDefault="00000000">
      <w:pPr>
        <w:pStyle w:val="TableCaption"/>
        <w:rPr>
          <w:rFonts w:cs="Arial"/>
        </w:rPr>
      </w:pPr>
      <w:r w:rsidRPr="008C5B2E">
        <w:rPr>
          <w:rFonts w:cs="Arial"/>
          <w:b/>
        </w:rPr>
        <w:t xml:space="preserve">Table </w:t>
      </w:r>
      <w:r w:rsidRPr="008C5B2E">
        <w:rPr>
          <w:rFonts w:cs="Arial"/>
          <w:b/>
        </w:rPr>
        <w:fldChar w:fldCharType="begin"/>
      </w:r>
      <w:r w:rsidRPr="008C5B2E">
        <w:rPr>
          <w:rFonts w:cs="Arial"/>
          <w:b/>
        </w:rPr>
        <w:instrText>SEQ tab \* Arabic</w:instrText>
      </w:r>
      <w:r w:rsidRPr="008C5B2E">
        <w:rPr>
          <w:rFonts w:cs="Arial"/>
          <w:b/>
        </w:rPr>
        <w:fldChar w:fldCharType="separate"/>
      </w:r>
      <w:r w:rsidR="008C5B2E" w:rsidRPr="008C5B2E">
        <w:rPr>
          <w:rFonts w:cs="Arial"/>
          <w:b/>
          <w:noProof/>
        </w:rPr>
        <w:t>5</w:t>
      </w:r>
      <w:r w:rsidRPr="008C5B2E">
        <w:rPr>
          <w:rFonts w:cs="Arial"/>
          <w:b/>
        </w:rPr>
        <w:fldChar w:fldCharType="end"/>
      </w:r>
      <w:r w:rsidRPr="008C5B2E">
        <w:rPr>
          <w:rFonts w:cs="Arial"/>
        </w:rPr>
        <w:t>: Recomendaciones de reforma vs Recomendaciones de enjuiciamiento en democracias post autoritarias</w:t>
      </w:r>
    </w:p>
    <w:tbl>
      <w:tblPr>
        <w:tblW w:w="0" w:type="auto"/>
        <w:jc w:val="center"/>
        <w:tblLayout w:type="fixed"/>
        <w:tblLook w:val="0420" w:firstRow="1" w:lastRow="0" w:firstColumn="0" w:lastColumn="0" w:noHBand="0" w:noVBand="1"/>
      </w:tblPr>
      <w:tblGrid>
        <w:gridCol w:w="1080"/>
        <w:gridCol w:w="1080"/>
        <w:gridCol w:w="1080"/>
        <w:gridCol w:w="1080"/>
      </w:tblGrid>
      <w:tr w:rsidR="002202CF" w:rsidRPr="008C5B2E" w14:paraId="4CD8AFC9" w14:textId="77777777">
        <w:trPr>
          <w:cantSplit/>
          <w:tblHeader/>
          <w:jc w:val="center"/>
        </w:trPr>
        <w:tc>
          <w:tcPr>
            <w:tcW w:w="1080" w:type="dxa"/>
            <w:tcBorders>
              <w:top w:val="single" w:sz="16" w:space="0" w:color="666666"/>
              <w:bottom w:val="single" w:sz="4" w:space="0" w:color="666666"/>
            </w:tcBorders>
            <w:shd w:val="clear" w:color="auto" w:fill="FFFFFF"/>
            <w:tcMar>
              <w:top w:w="0" w:type="dxa"/>
              <w:left w:w="0" w:type="dxa"/>
              <w:bottom w:w="0" w:type="dxa"/>
              <w:right w:w="0" w:type="dxa"/>
            </w:tcMar>
            <w:vAlign w:val="center"/>
          </w:tcPr>
          <w:p w14:paraId="28A9439E" w14:textId="77777777" w:rsidR="002202CF" w:rsidRPr="008C5B2E" w:rsidRDefault="00000000">
            <w:pPr>
              <w:spacing w:before="100" w:after="100"/>
              <w:ind w:left="100" w:right="100"/>
              <w:rPr>
                <w:rFonts w:cs="Arial"/>
              </w:rPr>
            </w:pPr>
            <w:r w:rsidRPr="008C5B2E">
              <w:rPr>
                <w:rFonts w:eastAsia="Arial" w:cs="Arial"/>
                <w:b/>
                <w:color w:val="000000"/>
                <w:sz w:val="22"/>
                <w:szCs w:val="22"/>
              </w:rPr>
              <w:t xml:space="preserve"> </w:t>
            </w:r>
          </w:p>
        </w:tc>
        <w:tc>
          <w:tcPr>
            <w:tcW w:w="2160" w:type="dxa"/>
            <w:gridSpan w:val="2"/>
            <w:tcBorders>
              <w:top w:val="single" w:sz="16" w:space="0" w:color="666666"/>
              <w:bottom w:val="single" w:sz="4" w:space="0" w:color="666666"/>
            </w:tcBorders>
            <w:shd w:val="clear" w:color="auto" w:fill="FFFFFF"/>
            <w:tcMar>
              <w:top w:w="0" w:type="dxa"/>
              <w:left w:w="0" w:type="dxa"/>
              <w:bottom w:w="0" w:type="dxa"/>
              <w:right w:w="0" w:type="dxa"/>
            </w:tcMar>
            <w:vAlign w:val="center"/>
          </w:tcPr>
          <w:p w14:paraId="0093C2D1"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enjuiciamintos</w:t>
            </w:r>
          </w:p>
        </w:tc>
        <w:tc>
          <w:tcPr>
            <w:tcW w:w="1080" w:type="dxa"/>
            <w:tcBorders>
              <w:top w:val="single" w:sz="16" w:space="0" w:color="666666"/>
              <w:bottom w:val="single" w:sz="4" w:space="0" w:color="666666"/>
            </w:tcBorders>
            <w:shd w:val="clear" w:color="auto" w:fill="FFFFFF"/>
            <w:tcMar>
              <w:top w:w="0" w:type="dxa"/>
              <w:left w:w="0" w:type="dxa"/>
              <w:bottom w:w="0" w:type="dxa"/>
              <w:right w:w="0" w:type="dxa"/>
            </w:tcMar>
            <w:vAlign w:val="center"/>
          </w:tcPr>
          <w:p w14:paraId="3FA58B2A"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 xml:space="preserve"> </w:t>
            </w:r>
          </w:p>
        </w:tc>
      </w:tr>
      <w:tr w:rsidR="002202CF" w:rsidRPr="008C5B2E" w14:paraId="10DDB903" w14:textId="77777777">
        <w:trPr>
          <w:cantSplit/>
          <w:tblHeader/>
          <w:jc w:val="center"/>
        </w:trPr>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FDC9C0B" w14:textId="77777777" w:rsidR="002202CF" w:rsidRPr="008C5B2E" w:rsidRDefault="00000000">
            <w:pPr>
              <w:spacing w:before="100" w:after="100"/>
              <w:ind w:left="100" w:right="100"/>
              <w:rPr>
                <w:rFonts w:cs="Arial"/>
              </w:rPr>
            </w:pPr>
            <w:r w:rsidRPr="008C5B2E">
              <w:rPr>
                <w:rFonts w:eastAsia="Arial" w:cs="Arial"/>
                <w:b/>
                <w:color w:val="000000"/>
                <w:sz w:val="22"/>
                <w:szCs w:val="22"/>
              </w:rPr>
              <w:t>reformas</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D5B2CA9"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sí</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DCD20FD"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No</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7782B1"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Total</w:t>
            </w:r>
          </w:p>
        </w:tc>
      </w:tr>
      <w:tr w:rsidR="002202CF" w:rsidRPr="008C5B2E" w14:paraId="2B629D28" w14:textId="77777777">
        <w:trPr>
          <w:cantSplit/>
          <w:jc w:val="center"/>
        </w:trPr>
        <w:tc>
          <w:tcPr>
            <w:tcW w:w="1080" w:type="dxa"/>
            <w:tcBorders>
              <w:bottom w:val="single" w:sz="4" w:space="0" w:color="666666"/>
            </w:tcBorders>
            <w:shd w:val="clear" w:color="auto" w:fill="FFFFFF"/>
            <w:tcMar>
              <w:top w:w="0" w:type="dxa"/>
              <w:left w:w="0" w:type="dxa"/>
              <w:bottom w:w="0" w:type="dxa"/>
              <w:right w:w="0" w:type="dxa"/>
            </w:tcMar>
            <w:vAlign w:val="center"/>
          </w:tcPr>
          <w:p w14:paraId="250F738B" w14:textId="77777777" w:rsidR="002202CF" w:rsidRPr="008C5B2E" w:rsidRDefault="00000000">
            <w:pPr>
              <w:spacing w:before="100" w:after="100"/>
              <w:ind w:left="100" w:right="100"/>
              <w:rPr>
                <w:rFonts w:cs="Arial"/>
              </w:rPr>
            </w:pPr>
            <w:r w:rsidRPr="008C5B2E">
              <w:rPr>
                <w:rFonts w:eastAsia="Arial" w:cs="Arial"/>
                <w:color w:val="000000"/>
                <w:sz w:val="22"/>
                <w:szCs w:val="22"/>
              </w:rPr>
              <w:t>No</w:t>
            </w:r>
          </w:p>
        </w:tc>
        <w:tc>
          <w:tcPr>
            <w:tcW w:w="1080" w:type="dxa"/>
            <w:tcBorders>
              <w:bottom w:val="single" w:sz="4" w:space="0" w:color="666666"/>
            </w:tcBorders>
            <w:shd w:val="clear" w:color="auto" w:fill="FFFFFF"/>
            <w:tcMar>
              <w:top w:w="0" w:type="dxa"/>
              <w:left w:w="0" w:type="dxa"/>
              <w:bottom w:w="0" w:type="dxa"/>
              <w:right w:w="0" w:type="dxa"/>
            </w:tcMar>
            <w:vAlign w:val="center"/>
          </w:tcPr>
          <w:p w14:paraId="5CD071F6"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4</w:t>
            </w:r>
          </w:p>
        </w:tc>
        <w:tc>
          <w:tcPr>
            <w:tcW w:w="1080" w:type="dxa"/>
            <w:tcBorders>
              <w:bottom w:val="single" w:sz="4" w:space="0" w:color="666666"/>
            </w:tcBorders>
            <w:shd w:val="clear" w:color="auto" w:fill="FFFFFF"/>
            <w:tcMar>
              <w:top w:w="0" w:type="dxa"/>
              <w:left w:w="0" w:type="dxa"/>
              <w:bottom w:w="0" w:type="dxa"/>
              <w:right w:w="0" w:type="dxa"/>
            </w:tcMar>
            <w:vAlign w:val="center"/>
          </w:tcPr>
          <w:p w14:paraId="43B0DBBC" w14:textId="77777777" w:rsidR="002202CF" w:rsidRPr="008C5B2E" w:rsidRDefault="002202CF">
            <w:pPr>
              <w:spacing w:before="100" w:after="100"/>
              <w:ind w:left="100" w:right="100"/>
              <w:jc w:val="right"/>
              <w:rPr>
                <w:rFonts w:cs="Arial"/>
              </w:rPr>
            </w:pPr>
          </w:p>
        </w:tc>
        <w:tc>
          <w:tcPr>
            <w:tcW w:w="1080" w:type="dxa"/>
            <w:tcBorders>
              <w:bottom w:val="single" w:sz="4" w:space="0" w:color="666666"/>
            </w:tcBorders>
            <w:shd w:val="clear" w:color="auto" w:fill="FFFFFF"/>
            <w:tcMar>
              <w:top w:w="0" w:type="dxa"/>
              <w:left w:w="0" w:type="dxa"/>
              <w:bottom w:w="0" w:type="dxa"/>
              <w:right w:w="0" w:type="dxa"/>
            </w:tcMar>
            <w:vAlign w:val="center"/>
          </w:tcPr>
          <w:p w14:paraId="72EA8E51"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4</w:t>
            </w:r>
          </w:p>
        </w:tc>
      </w:tr>
      <w:tr w:rsidR="002202CF" w:rsidRPr="008C5B2E" w14:paraId="250F5E31" w14:textId="77777777">
        <w:trPr>
          <w:cantSplit/>
          <w:jc w:val="center"/>
        </w:trPr>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33D862" w14:textId="77777777" w:rsidR="002202CF" w:rsidRPr="008C5B2E" w:rsidRDefault="00000000">
            <w:pPr>
              <w:spacing w:before="100" w:after="100"/>
              <w:ind w:left="100" w:right="100"/>
              <w:rPr>
                <w:rFonts w:cs="Arial"/>
              </w:rPr>
            </w:pPr>
            <w:r w:rsidRPr="008C5B2E">
              <w:rPr>
                <w:rFonts w:eastAsia="Arial" w:cs="Arial"/>
                <w:color w:val="000000"/>
                <w:sz w:val="22"/>
                <w:szCs w:val="22"/>
              </w:rPr>
              <w:t>Sí</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00DAB4"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7</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D30095"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7</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CA4D97"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14</w:t>
            </w:r>
          </w:p>
        </w:tc>
      </w:tr>
      <w:tr w:rsidR="002202CF" w:rsidRPr="008C5B2E" w14:paraId="2FF7DDA6" w14:textId="77777777">
        <w:trPr>
          <w:cantSplit/>
          <w:jc w:val="center"/>
        </w:trPr>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99D4A74" w14:textId="77777777" w:rsidR="002202CF" w:rsidRPr="008C5B2E" w:rsidRDefault="00000000">
            <w:pPr>
              <w:spacing w:before="100" w:after="100"/>
              <w:ind w:left="100" w:right="100"/>
              <w:rPr>
                <w:rFonts w:cs="Arial"/>
              </w:rPr>
            </w:pPr>
            <w:r w:rsidRPr="008C5B2E">
              <w:rPr>
                <w:rFonts w:eastAsia="Arial" w:cs="Arial"/>
                <w:color w:val="000000"/>
                <w:sz w:val="22"/>
                <w:szCs w:val="22"/>
              </w:rPr>
              <w:t>Total</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23E1704"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11</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305A3E3"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7</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A6CEE1F"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18</w:t>
            </w:r>
          </w:p>
        </w:tc>
      </w:tr>
    </w:tbl>
    <w:p w14:paraId="52FF0098" w14:textId="77777777" w:rsidR="002202CF" w:rsidRPr="008C5B2E" w:rsidRDefault="00000000">
      <w:pPr>
        <w:pStyle w:val="TableCaption"/>
        <w:rPr>
          <w:rFonts w:cs="Arial"/>
        </w:rPr>
      </w:pPr>
      <w:r w:rsidRPr="008C5B2E">
        <w:rPr>
          <w:rFonts w:cs="Arial"/>
          <w:b/>
        </w:rPr>
        <w:t xml:space="preserve">Table </w:t>
      </w:r>
      <w:r w:rsidRPr="008C5B2E">
        <w:rPr>
          <w:rFonts w:cs="Arial"/>
          <w:b/>
        </w:rPr>
        <w:fldChar w:fldCharType="begin"/>
      </w:r>
      <w:r w:rsidRPr="008C5B2E">
        <w:rPr>
          <w:rFonts w:cs="Arial"/>
          <w:b/>
        </w:rPr>
        <w:instrText>SEQ tab \* Arabic</w:instrText>
      </w:r>
      <w:r w:rsidRPr="008C5B2E">
        <w:rPr>
          <w:rFonts w:cs="Arial"/>
          <w:b/>
        </w:rPr>
        <w:fldChar w:fldCharType="separate"/>
      </w:r>
      <w:r w:rsidR="008C5B2E" w:rsidRPr="008C5B2E">
        <w:rPr>
          <w:rFonts w:cs="Arial"/>
          <w:b/>
          <w:noProof/>
        </w:rPr>
        <w:t>6</w:t>
      </w:r>
      <w:r w:rsidRPr="008C5B2E">
        <w:rPr>
          <w:rFonts w:cs="Arial"/>
          <w:b/>
        </w:rPr>
        <w:fldChar w:fldCharType="end"/>
      </w:r>
      <w:r w:rsidRPr="008C5B2E">
        <w:rPr>
          <w:rFonts w:cs="Arial"/>
        </w:rPr>
        <w:t>: Número de comisiones de verdad usadas por las transiciones</w:t>
      </w:r>
    </w:p>
    <w:tbl>
      <w:tblPr>
        <w:tblW w:w="0" w:type="auto"/>
        <w:jc w:val="center"/>
        <w:tblLayout w:type="fixed"/>
        <w:tblLook w:val="0420" w:firstRow="1" w:lastRow="0" w:firstColumn="0" w:lastColumn="0" w:noHBand="0" w:noVBand="1"/>
      </w:tblPr>
      <w:tblGrid>
        <w:gridCol w:w="1080"/>
        <w:gridCol w:w="1080"/>
        <w:gridCol w:w="1080"/>
      </w:tblGrid>
      <w:tr w:rsidR="002202CF" w:rsidRPr="008C5B2E" w14:paraId="0A8D285D"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C6B883"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comisiones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A145A5"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F98C6F" w14:textId="77777777" w:rsidR="002202CF" w:rsidRPr="008C5B2E" w:rsidRDefault="00000000">
            <w:pPr>
              <w:spacing w:before="100" w:after="100"/>
              <w:ind w:left="100" w:right="100"/>
              <w:jc w:val="right"/>
              <w:rPr>
                <w:rFonts w:cs="Arial"/>
              </w:rPr>
            </w:pPr>
            <w:r w:rsidRPr="008C5B2E">
              <w:rPr>
                <w:rFonts w:eastAsia="Arial" w:cs="Arial"/>
                <w:b/>
                <w:color w:val="000000"/>
                <w:sz w:val="22"/>
                <w:szCs w:val="22"/>
              </w:rPr>
              <w:t>porcentaje</w:t>
            </w:r>
          </w:p>
        </w:tc>
      </w:tr>
      <w:tr w:rsidR="002202CF" w:rsidRPr="008C5B2E" w14:paraId="21997192" w14:textId="77777777">
        <w:trPr>
          <w:cantSplit/>
          <w:jc w:val="center"/>
        </w:trPr>
        <w:tc>
          <w:tcPr>
            <w:tcW w:w="1080" w:type="dxa"/>
            <w:tcBorders>
              <w:bottom w:val="single" w:sz="4" w:space="0" w:color="666666"/>
            </w:tcBorders>
            <w:shd w:val="clear" w:color="auto" w:fill="FFFFFF"/>
            <w:tcMar>
              <w:top w:w="0" w:type="dxa"/>
              <w:left w:w="0" w:type="dxa"/>
              <w:bottom w:w="0" w:type="dxa"/>
              <w:right w:w="0" w:type="dxa"/>
            </w:tcMar>
            <w:vAlign w:val="center"/>
          </w:tcPr>
          <w:p w14:paraId="64522770"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w:t>
            </w:r>
          </w:p>
        </w:tc>
        <w:tc>
          <w:tcPr>
            <w:tcW w:w="1080" w:type="dxa"/>
            <w:tcBorders>
              <w:bottom w:val="single" w:sz="4" w:space="0" w:color="666666"/>
            </w:tcBorders>
            <w:shd w:val="clear" w:color="auto" w:fill="FFFFFF"/>
            <w:tcMar>
              <w:top w:w="0" w:type="dxa"/>
              <w:left w:w="0" w:type="dxa"/>
              <w:bottom w:w="0" w:type="dxa"/>
              <w:right w:w="0" w:type="dxa"/>
            </w:tcMar>
            <w:vAlign w:val="center"/>
          </w:tcPr>
          <w:p w14:paraId="3EBFE19C"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24</w:t>
            </w:r>
          </w:p>
        </w:tc>
        <w:tc>
          <w:tcPr>
            <w:tcW w:w="1080" w:type="dxa"/>
            <w:tcBorders>
              <w:bottom w:val="single" w:sz="4" w:space="0" w:color="666666"/>
            </w:tcBorders>
            <w:shd w:val="clear" w:color="auto" w:fill="FFFFFF"/>
            <w:tcMar>
              <w:top w:w="0" w:type="dxa"/>
              <w:left w:w="0" w:type="dxa"/>
              <w:bottom w:w="0" w:type="dxa"/>
              <w:right w:w="0" w:type="dxa"/>
            </w:tcMar>
            <w:vAlign w:val="center"/>
          </w:tcPr>
          <w:p w14:paraId="623EE30E"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72.7</w:t>
            </w:r>
          </w:p>
        </w:tc>
      </w:tr>
      <w:tr w:rsidR="002202CF" w:rsidRPr="008C5B2E" w14:paraId="5867F3D3" w14:textId="77777777">
        <w:trPr>
          <w:cantSplit/>
          <w:jc w:val="center"/>
        </w:trPr>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A6AD95"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2</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5DE1CE"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6</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AC69EA"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18.2</w:t>
            </w:r>
          </w:p>
        </w:tc>
      </w:tr>
      <w:tr w:rsidR="002202CF" w:rsidRPr="008C5B2E" w14:paraId="3C4EE9DB" w14:textId="77777777">
        <w:trPr>
          <w:cantSplit/>
          <w:jc w:val="center"/>
        </w:trPr>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1B9E0"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3</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448026"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1</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F4E701"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3.0</w:t>
            </w:r>
          </w:p>
        </w:tc>
      </w:tr>
      <w:tr w:rsidR="002202CF" w:rsidRPr="008C5B2E" w14:paraId="06951B83" w14:textId="77777777">
        <w:trPr>
          <w:cantSplit/>
          <w:jc w:val="center"/>
        </w:trPr>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6E3DE4"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4</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2492AAC"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2</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F6CFF7" w14:textId="77777777" w:rsidR="002202CF" w:rsidRPr="008C5B2E" w:rsidRDefault="00000000">
            <w:pPr>
              <w:spacing w:before="100" w:after="100"/>
              <w:ind w:left="100" w:right="100"/>
              <w:jc w:val="right"/>
              <w:rPr>
                <w:rFonts w:cs="Arial"/>
              </w:rPr>
            </w:pPr>
            <w:r w:rsidRPr="008C5B2E">
              <w:rPr>
                <w:rFonts w:eastAsia="Arial" w:cs="Arial"/>
                <w:color w:val="000000"/>
                <w:sz w:val="22"/>
                <w:szCs w:val="22"/>
              </w:rPr>
              <w:t>6.1</w:t>
            </w:r>
          </w:p>
        </w:tc>
      </w:tr>
    </w:tbl>
    <w:p w14:paraId="214D2FD5" w14:textId="77777777" w:rsidR="002202CF" w:rsidRPr="008C5B2E" w:rsidRDefault="00000000">
      <w:pPr>
        <w:pStyle w:val="Textoindependiente"/>
        <w:rPr>
          <w:rFonts w:cs="Arial"/>
        </w:rPr>
      </w:pPr>
      <w:r w:rsidRPr="008C5B2E">
        <w:rPr>
          <w:rFonts w:cs="Arial"/>
          <w:noProof/>
        </w:rPr>
        <w:lastRenderedPageBreak/>
        <w:drawing>
          <wp:inline distT="0" distB="0" distL="0" distR="0" wp14:anchorId="1E7A6F9E" wp14:editId="5A18CED9">
            <wp:extent cx="5600700" cy="280035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informe_4_files/figure-docx/unnamed-chunk-9-1.png"/>
                    <pic:cNvPicPr>
                      <a:picLocks noChangeAspect="1" noChangeArrowheads="1"/>
                    </pic:cNvPicPr>
                  </pic:nvPicPr>
                  <pic:blipFill>
                    <a:blip r:embed="rId11"/>
                    <a:stretch>
                      <a:fillRect/>
                    </a:stretch>
                  </pic:blipFill>
                  <pic:spPr bwMode="auto">
                    <a:xfrm>
                      <a:off x="0" y="0"/>
                      <a:ext cx="5600700" cy="2800350"/>
                    </a:xfrm>
                    <a:prstGeom prst="rect">
                      <a:avLst/>
                    </a:prstGeom>
                    <a:noFill/>
                    <a:ln w="9525">
                      <a:noFill/>
                      <a:headEnd/>
                      <a:tailEnd/>
                    </a:ln>
                  </pic:spPr>
                </pic:pic>
              </a:graphicData>
            </a:graphic>
          </wp:inline>
        </w:drawing>
      </w:r>
      <w:bookmarkEnd w:id="11"/>
      <w:bookmarkEnd w:id="17"/>
    </w:p>
    <w:sectPr w:rsidR="002202CF" w:rsidRPr="008C5B2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546F" w14:textId="77777777" w:rsidR="00A71B4E" w:rsidRDefault="00A71B4E">
      <w:pPr>
        <w:spacing w:after="0"/>
      </w:pPr>
      <w:r>
        <w:separator/>
      </w:r>
    </w:p>
  </w:endnote>
  <w:endnote w:type="continuationSeparator" w:id="0">
    <w:p w14:paraId="521DF58F" w14:textId="77777777" w:rsidR="00A71B4E" w:rsidRDefault="00A71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7265C" w14:textId="77777777" w:rsidR="00A71B4E" w:rsidRDefault="00A71B4E">
      <w:r>
        <w:separator/>
      </w:r>
    </w:p>
  </w:footnote>
  <w:footnote w:type="continuationSeparator" w:id="0">
    <w:p w14:paraId="50334C81" w14:textId="77777777" w:rsidR="00A71B4E" w:rsidRDefault="00A71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108B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C8A0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0C48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8272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24E8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3275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AC30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C016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7E0D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94B8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B72BF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4140263">
    <w:abstractNumId w:val="10"/>
  </w:num>
  <w:num w:numId="2" w16cid:durableId="1995798348">
    <w:abstractNumId w:val="8"/>
  </w:num>
  <w:num w:numId="3" w16cid:durableId="1213495108">
    <w:abstractNumId w:val="3"/>
  </w:num>
  <w:num w:numId="4" w16cid:durableId="1853184635">
    <w:abstractNumId w:val="2"/>
  </w:num>
  <w:num w:numId="5" w16cid:durableId="575826798">
    <w:abstractNumId w:val="1"/>
  </w:num>
  <w:num w:numId="6" w16cid:durableId="1816945822">
    <w:abstractNumId w:val="0"/>
  </w:num>
  <w:num w:numId="7" w16cid:durableId="1641492291">
    <w:abstractNumId w:val="9"/>
  </w:num>
  <w:num w:numId="8" w16cid:durableId="1788306752">
    <w:abstractNumId w:val="7"/>
  </w:num>
  <w:num w:numId="9" w16cid:durableId="944770762">
    <w:abstractNumId w:val="6"/>
  </w:num>
  <w:num w:numId="10" w16cid:durableId="314723108">
    <w:abstractNumId w:val="5"/>
  </w:num>
  <w:num w:numId="11" w16cid:durableId="1008555750">
    <w:abstractNumId w:val="4"/>
  </w:num>
  <w:num w:numId="12" w16cid:durableId="1829322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CF"/>
    <w:rsid w:val="000827BC"/>
    <w:rsid w:val="002202CF"/>
    <w:rsid w:val="00406D55"/>
    <w:rsid w:val="00483125"/>
    <w:rsid w:val="00543E2B"/>
    <w:rsid w:val="007B439C"/>
    <w:rsid w:val="008C5B2E"/>
    <w:rsid w:val="00A71B4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CCF1"/>
  <w15:docId w15:val="{5A6D6999-77D0-4E3E-B73D-DEA1A606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7BC"/>
    <w:rPr>
      <w:rFonts w:ascii="Arial" w:hAnsi="Arial"/>
    </w:rPr>
  </w:style>
  <w:style w:type="paragraph" w:styleId="Ttulo1">
    <w:name w:val="heading 1"/>
    <w:basedOn w:val="Normal"/>
    <w:next w:val="Textoindependiente"/>
    <w:autoRedefine/>
    <w:uiPriority w:val="9"/>
    <w:qFormat/>
    <w:rsid w:val="008C5B2E"/>
    <w:pPr>
      <w:keepNext/>
      <w:keepLines/>
      <w:pageBreakBefore/>
      <w:spacing w:before="480" w:after="0"/>
      <w:outlineLvl w:val="0"/>
    </w:pPr>
    <w:rPr>
      <w:rFonts w:eastAsiaTheme="majorEastAsia" w:cstheme="majorBidi"/>
      <w:b/>
      <w:bCs/>
      <w:sz w:val="32"/>
      <w:szCs w:val="32"/>
    </w:rPr>
  </w:style>
  <w:style w:type="paragraph" w:styleId="Ttulo2">
    <w:name w:val="heading 2"/>
    <w:basedOn w:val="Normal"/>
    <w:next w:val="Textoindependiente"/>
    <w:autoRedefine/>
    <w:uiPriority w:val="9"/>
    <w:unhideWhenUsed/>
    <w:qFormat/>
    <w:rsid w:val="008C5B2E"/>
    <w:pPr>
      <w:keepNext/>
      <w:keepLines/>
      <w:spacing w:before="200" w:after="0"/>
      <w:outlineLvl w:val="1"/>
    </w:pPr>
    <w:rPr>
      <w:rFonts w:eastAsiaTheme="majorEastAsia" w:cstheme="majorBidi"/>
      <w:b/>
      <w:bCs/>
      <w:sz w:val="28"/>
      <w:szCs w:val="28"/>
    </w:rPr>
  </w:style>
  <w:style w:type="paragraph" w:styleId="Ttulo3">
    <w:name w:val="heading 3"/>
    <w:basedOn w:val="Normal"/>
    <w:next w:val="Textoindependiente"/>
    <w:autoRedefine/>
    <w:uiPriority w:val="9"/>
    <w:unhideWhenUsed/>
    <w:qFormat/>
    <w:rsid w:val="008C5B2E"/>
    <w:pPr>
      <w:keepNext/>
      <w:keepLines/>
      <w:spacing w:before="200" w:after="0"/>
      <w:outlineLvl w:val="2"/>
    </w:pPr>
    <w:rPr>
      <w:rFonts w:eastAsiaTheme="majorEastAsia" w:cstheme="majorBidi"/>
      <w:b/>
      <w:bCs/>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8C5B2E"/>
    <w:pPr>
      <w:spacing w:before="180" w:after="180" w:line="360" w:lineRule="auto"/>
      <w:jc w:val="both"/>
    </w:pPr>
  </w:style>
  <w:style w:type="paragraph" w:customStyle="1" w:styleId="FirstParagraph">
    <w:name w:val="First Paragraph"/>
    <w:basedOn w:val="Textoindependiente"/>
    <w:next w:val="Textoindependiente"/>
    <w:autoRedefine/>
    <w:qFormat/>
    <w:rsid w:val="008C5B2E"/>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406D55"/>
    <w:pPr>
      <w:keepNext/>
      <w:keepLines/>
      <w:spacing w:before="720" w:after="480" w:line="360" w:lineRule="auto"/>
      <w:jc w:val="center"/>
    </w:pPr>
    <w:rPr>
      <w:rFonts w:eastAsiaTheme="majorEastAsia" w:cstheme="majorBidi"/>
      <w:b/>
      <w:bCs/>
      <w:sz w:val="40"/>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406D55"/>
    <w:pPr>
      <w:keepNext/>
      <w:keepLines/>
      <w:spacing w:before="240" w:after="440" w:line="360" w:lineRule="auto"/>
      <w:jc w:val="center"/>
    </w:pPr>
    <w:rPr>
      <w:rFonts w:ascii="Arial" w:hAnsi="Arial"/>
    </w:rPr>
  </w:style>
  <w:style w:type="paragraph" w:styleId="Fecha">
    <w:name w:val="Date"/>
    <w:next w:val="Textoindependiente"/>
    <w:autoRedefine/>
    <w:qFormat/>
    <w:rsid w:val="00406D55"/>
    <w:pPr>
      <w:keepNext/>
      <w:keepLines/>
      <w:spacing w:before="600" w:after="800" w:line="360" w:lineRule="auto"/>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0827BC"/>
    <w:pPr>
      <w:keepNext/>
    </w:pPr>
  </w:style>
  <w:style w:type="paragraph" w:customStyle="1" w:styleId="ImageCaption">
    <w:name w:val="Image Caption"/>
    <w:basedOn w:val="Descripcin"/>
    <w:rsid w:val="00406D55"/>
    <w:pPr>
      <w:jc w:val="center"/>
    </w:pPr>
  </w:style>
  <w:style w:type="paragraph" w:customStyle="1" w:styleId="Figure">
    <w:name w:val="Figure"/>
    <w:basedOn w:val="Normal"/>
  </w:style>
  <w:style w:type="paragraph" w:customStyle="1" w:styleId="CaptionedFigure">
    <w:name w:val="Captioned Figure"/>
    <w:basedOn w:val="Figure"/>
    <w:rsid w:val="00406D55"/>
    <w:pPr>
      <w:keepNext/>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sid w:val="008C5B2E"/>
    <w:rPr>
      <w:rFonts w:ascii="Arial" w:hAnsi="Arial"/>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8C5B2E"/>
    <w:rPr>
      <w:rFonts w:ascii="Arial" w:hAnsi="Arial"/>
    </w:rPr>
  </w:style>
  <w:style w:type="paragraph" w:styleId="TDC1">
    <w:name w:val="toc 1"/>
    <w:basedOn w:val="Normal"/>
    <w:next w:val="Normal"/>
    <w:autoRedefine/>
    <w:uiPriority w:val="39"/>
    <w:unhideWhenUsed/>
    <w:rsid w:val="008C5B2E"/>
    <w:pPr>
      <w:spacing w:after="100"/>
    </w:pPr>
  </w:style>
  <w:style w:type="paragraph" w:styleId="TDC2">
    <w:name w:val="toc 2"/>
    <w:basedOn w:val="Normal"/>
    <w:next w:val="Normal"/>
    <w:autoRedefine/>
    <w:uiPriority w:val="39"/>
    <w:unhideWhenUsed/>
    <w:rsid w:val="008C5B2E"/>
    <w:pPr>
      <w:spacing w:after="100"/>
      <w:ind w:left="240"/>
    </w:pPr>
  </w:style>
  <w:style w:type="paragraph" w:styleId="TDC3">
    <w:name w:val="toc 3"/>
    <w:basedOn w:val="Normal"/>
    <w:next w:val="Normal"/>
    <w:autoRedefine/>
    <w:uiPriority w:val="39"/>
    <w:unhideWhenUsed/>
    <w:rsid w:val="008C5B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1376</Words>
  <Characters>7573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¿GARANTÍAS DE NO REPETICIÓN? JUSTICIA TRANSICIONAL Y VIOLACIONES A LOS DERECHOS HUMANOS EN LAS DEMOCRACIAS POST AUTORITARIAS (1970 - 2011)</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¿GARANTÍAS DE NO REPETICIÓN? JUSTICIA TRANSICIONAL Y VIOLACIONES A LOS DERECHOS HUMANOS EN LAS DEMOCRACIAS POST AUTORITARIAS (1970 - 2011)</dc:title>
  <dc:creator>Autor: Mauricio Carrasco Núñez;Directora: Dra. Oriana Bernasconi Ramírez;Co-Directora: Dra. Julieta Palma Palma</dc:creator>
  <cp:keywords/>
  <cp:lastModifiedBy>Mauricio Carrasco</cp:lastModifiedBy>
  <cp:revision>6</cp:revision>
  <dcterms:created xsi:type="dcterms:W3CDTF">2022-08-28T04:02:00Z</dcterms:created>
  <dcterms:modified xsi:type="dcterms:W3CDTF">2022-08-28T06:02:00Z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Santiago, 19 de agosto de 2022</vt:lpwstr>
  </property>
  <property fmtid="{D5CDD505-2E9C-101B-9397-08002B2CF9AE}" pid="3" name="output">
    <vt:lpwstr/>
  </property>
  <property fmtid="{D5CDD505-2E9C-101B-9397-08002B2CF9AE}" pid="4" name="subtitle">
    <vt:lpwstr>Tesis para optar al grado de Magister en Sociología</vt:lpwstr>
  </property>
  <property fmtid="{D5CDD505-2E9C-101B-9397-08002B2CF9AE}" pid="5" name="toc-title">
    <vt:lpwstr>Tabla de contenido</vt:lpwstr>
  </property>
</Properties>
</file>