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FB2D4"/>
                <w:sz w:val="20"/>
                <w:szCs w:val="20"/>
              </w:rPr>
              <w:t xml:space="preserve">BANCO LUSO BRASILEIRO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Dados para Análise de Crédito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O que a IA precisa receber para fazer a análise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FB2D4"/>
                <w:sz w:val="18"/>
                <w:szCs w:val="18"/>
              </w:rPr>
              <w:t xml:space="preserve">StartSe Consulting  |  Março 2026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36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 que a IA precisa para analisar crédito?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que o agente consiga realizar a análise de crédito de forma autônoma, ele precisa receber três tipos de insumo: os dados financeiros do cliente, as consultas externas de mercado e as réguas de decisão do Banco. Os itens abaixo são exatamente isso.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24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</w:tblGrid>
            <w:tr>
              <w:tc>
                <w:tcPr>
                  <w:tcBorders>
                    <w:top w:val="none" w:color="FFFFFF" w:sz="0"/>
                    <w:left w:val="single" w:color="991B1B" w:sz="14"/>
                    <w:bottom w:val="none" w:color="FFFFFF" w:sz="0"/>
                    <w:right w:val="none" w:color="FFFFFF" w:sz="0"/>
                  </w:tcBorders>
                  <w:shd w:fill="FEE2E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91B1B"/>
                      <w:sz w:val="17"/>
                      <w:szCs w:val="17"/>
                    </w:rPr>
                    <w:t xml:space="preserve">OBRIGATÓRIO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Sem esse dado o teste não roda</w:t>
                  </w:r>
                </w:p>
              </w:tc>
            </w:tr>
          </w:tbl>
          <w:p/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2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</w:tblGrid>
            <w:tr>
              <w:tc>
                <w:tcPr>
                  <w:tcBorders>
                    <w:top w:val="none" w:color="FFFFFF" w:sz="0"/>
                    <w:left w:val="single" w:color="92400E" w:sz="14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7"/>
                      <w:szCs w:val="17"/>
                    </w:rPr>
                    <w:t xml:space="preserve">DESEJÁVEL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Melhora a qualidade da análise</w:t>
                  </w:r>
                </w:p>
              </w:tc>
            </w:tr>
          </w:tbl>
          <w:p/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tbl>
            <w:tblPr>
              <w:tblW w:type="dxa" w:w="3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</w:tblGrid>
            <w:tr>
              <w:tc>
                <w:tcPr>
                  <w:tcBorders>
                    <w:top w:val="none" w:color="FFFFFF" w:sz="0"/>
                    <w:left w:val="single" w:color="166534" w:sz="14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17"/>
                      <w:szCs w:val="17"/>
                    </w:rPr>
                    <w:t xml:space="preserve">PODE SER MOCK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E293B"/>
                      <w:sz w:val="17"/>
                      <w:szCs w:val="17"/>
                    </w:rPr>
                    <w:t xml:space="preserve">Pode ser substituído por dado fictício</w:t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36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Dados financeiros do cliente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São os documentos que mostram a saúde financeira de quem está pedindo crédito. Sem eles a análise não começa.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60"/>
        <w:gridCol w:w="1100"/>
        <w:gridCol w:w="1200"/>
        <w:gridCol w:w="1600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/ exemplos</w:t>
            </w:r>
          </w:p>
        </w:tc>
        <w:tc>
          <w:tcPr>
            <w:tcW w:type="dxa" w:w="11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Balanço Patrimonial (BP)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BP dos últimos 2 a 3 anos. Pode vir de qualquer sistema contábil: Domínio, SAGE, Alterdata, IOB ou elaborado em Excel/Word.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2–3 anos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DRE — Demonstrativo de Resultado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DRE correspondente ao mesmo período do BP. A IA vai extrair receita líquida, EBITDA, resultado líquido e margem.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2–3 anos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Balancete recente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Balancete dos últimos 60 dias. Complementa o BP anual com a posição mais atual do cliente.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XLSX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Faturamento dos últimos 12 meses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Extrato ou declaração de faturamento mensal. Serve para calcular capacidade de pagamento e sazonalidade.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XLSX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Relação de endividamento bancário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Lista das dívidas ativas do cliente com outros bancos (saldo devedor, prazo, banco credor). Pode vir via SCR do BACEN ou declaração do cliente.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XLSX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Para os testes, os valores dos documentos podem ser alterados. O que importa é manter a estrutura — o formato do BP, a organização das contas — não os números reais.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36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Consultas externas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São as informações de mercado que o agente vai buscar sobre o cliente: score, restrições, situação cadastral. Nos testes, podem ser substituídas por dados fictícios com a mesma estrutura.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60"/>
        <w:gridCol w:w="1100"/>
        <w:gridCol w:w="1200"/>
        <w:gridCol w:w="1600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/ exemplos</w:t>
            </w:r>
          </w:p>
        </w:tc>
        <w:tc>
          <w:tcPr>
            <w:tcW w:type="dxa" w:w="11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Serasa / Boa Vista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Score de crédito, restrições ativas, protestos, cheques sem fundo, ações de cobrança. O agente vai interpretar o retorno e identificar impeditivos.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Situação CNPJ — Receita Federal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Situação cadastral do CNPJ: ativo/inapto/suspenso, data de abertura, atividade principal (CNAE), porte declarado.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Protestos (CENPROT / cartórios)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Existência de protestos registrados em cartório. Valor, data e credor dos protestos ativos.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Processos judiciais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Ações cíveis, trabalhistas e execuções fiscais relevantes. Fontes: JusBrasil, DataJud ou fornecedor de dados jurídicos.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JSON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SCR — Sistema de Informações de Crédito (BACEN)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Histórico de operações de crédito do cliente no sistema financeiro: saldo total, nível de inadimplência, operações em atraso.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por cliente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A8" w:sz="1"/>
              <w:left w:val="single" w:color="2563A8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A8"/>
                <w:sz w:val="18"/>
                <w:szCs w:val="18"/>
              </w:rPr>
              <w:t xml:space="preserve">💡  Para os testes iniciais, os retornos de consulta externa podem ser mockados (dados fictícios com a mesma estrutura de JSON ou PDF). O que importa é a IA aprender a interpretar o formato.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36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Réguas de decisão do Banco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É aqui que o agente aprende a fazer a análise no padrão do Banco Luso. Sem as réguas, ele não sabe o que aprovar, o que reprovar e quais indicadores são críticos.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60"/>
        <w:gridCol w:w="1100"/>
        <w:gridCol w:w="1200"/>
        <w:gridCol w:w="1600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/ exemplos</w:t>
            </w:r>
          </w:p>
        </w:tc>
        <w:tc>
          <w:tcPr>
            <w:tcW w:type="dxa" w:w="11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Planilha template do Banco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planilha Excel que o analista usa hoje para planilhar o balanço e calcular os indicadores. É o formato de output que o agente vai replicar.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template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Planilhas preenchidas (exemplos)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Planilhas já preenchidas por analistas a partir de balanços reais. Servem como gabarito — o agente compara o que extraiu com o que o analista fez.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10 exemplos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Manual de análise de crédito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interno com os critérios de avaliação: índices mínimos de liquidez, endividamento máximo, limites de exposição por porte de cliente.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DOCX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documento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Manual de rating / classificação de risco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Critérios que definem o rating interno do cliente (A, B, C... ou equivalente). É o que o agente vai usar para emitir o parecer final.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DOCX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 documento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Exemplos de pareceres de análise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Pareceres reais emitidos por analistas sênior. O agente vai aprender o padrão de escrita, os pontos destacados e o nível de detalhe esperado.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PDF / DOCX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10 exemplos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Histórico de decisões (aprovado / reprovado)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Registro das últimas propostas com a decisão final (aprovado, aprovado com ressalva, reprovado) e o motivo. Permite calibrar o agente contra decisões reais.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XLSX / CSV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50 registros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DESEJÁVEL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36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Resumo — o mínimo para começar os testes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precisar priorizar, os itens abaixo são o ponto de partida. Com eles já dá para rodar os primeiros testes e medir a qualidade da análise.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3600"/>
      </w:tblGrid>
      <w:tr>
        <w:trPr>
          <w:tblHeader/>
        </w:trPr>
        <w:tc>
          <w:tcPr>
            <w:tcW w:type="dxa" w:w="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é o mínimo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Balanço Patrimonial + DRE (2 anos)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Sem isso não tem dado financeiro para analisar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Planilha template do Banco (XLSX)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Define o schema de output — o que o agente vai preencher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 planilhas preenchidas por analistas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É o gabarito — permite medir se o agente está certo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Manual de análise de crédito + manual de rating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São as regras — sem elas o agente não sabe o que aprovar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 pareceres reais de analistas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Ensina o padrão de escrita e os pontos que o Banco valoriza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Retorno de Serasa + situação CNPJ (mock OK)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IA precisa saber interpretar o risco de mercado do cliente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8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 Todos os dados devem ser anonimizados antes de enviar: CNPJ, Razão Social e dados de sócios devem ser substituídos por códigos (ex: CLIENTE_001). Os valores financeiros podem ser alterados — o que importa é manter a estrutura dos documentos.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Válber Azevedo Filho — StartSe Consulting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Março 2026  |  v1.0  |  Confidencial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Confidencial — Uso Interno  |  StartSe Consulting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2680"/>
    </w:tblGrid>
    <w:tr>
      <w:tc>
        <w:tcPr>
          <w:tcW w:type="dxa" w:w="7400"/>
          <w:tcBorders>
            <w:top w:val="none" w:color="FFFFFF" w:sz="0"/>
            <w:left w:val="none" w:color="FFFFFF" w:sz="0"/>
            <w:bottom w:val="single" w:color="D1D5DB" w:sz="1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Banco Luso Brasileiro  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| Dados para Análise de Crédito — IA</w:t>
          </w:r>
        </w:p>
      </w:tc>
      <w:tc>
        <w:tcPr>
          <w:tcW w:type="dxa" w:w="2680"/>
          <w:tcBorders>
            <w:top w:val="none" w:color="FFFFFF" w:sz="0"/>
            <w:left w:val="none" w:color="FFFFFF" w:sz="0"/>
            <w:bottom w:val="single" w:color="D1D5DB" w:sz="1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StartSe Consulting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2026-03-17T17:48:44.686Z</dcterms:created>
  <dcterms:modified xsi:type="dcterms:W3CDTF">2026-03-17T17:48:44.688Z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