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  <w:pBdr>
          <w:bottom w:val="single" w:sz="14" w:space="1" w:color="595959"/>
        </w:pBdr>
      </w:pPr>
      <w:r>
        <w:rPr>
          <w:b/>
          <w:sz w:val="20"/>
        </w:rPr>
        <w:t>APRENDE Y REPASA</w:t>
      </w:r>
      <w:r>
        <w:rPr>
          <w:i/>
          <w:sz w:val="20"/>
        </w:rPr>
        <w:t xml:space="preserve">   ·   5º y 6º de Primaria</w:t>
      </w:r>
    </w:p>
    <w:p>
      <w:pPr>
        <w:spacing w:after="40"/>
      </w:pPr>
    </w:p>
    <w:p>
      <w:pPr>
        <w:spacing w:before="0" w:after="0"/>
      </w:pPr>
      <w:r>
        <w:rPr>
          <w:b/>
          <w:sz w:val="48"/>
        </w:rPr>
        <w:t>LOS DETERMINANTES</w:t>
      </w:r>
    </w:p>
    <w:p>
      <w:pPr>
        <w:spacing w:before="0" w:after="0"/>
      </w:pPr>
      <w:r>
        <w:rPr>
          <w:i/>
          <w:sz w:val="24"/>
        </w:rPr>
        <w:t>Hoja de soluciones · Lengua · 5º de Primaria</w:t>
      </w:r>
    </w:p>
    <w:p>
      <w:pPr>
        <w:spacing w:after="40"/>
      </w:pPr>
    </w:p>
    <w:p>
      <w:pPr>
        <w:spacing w:after="40"/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Layout w:type="fixed"/>
        <w:tblW w:w="10034" w:type="dxa"/>
        <w:tblInd w:w="0" w:type="dxa"/>
      </w:tblPr>
      <w:tblGrid>
        <w:gridCol w:w="10092"/>
      </w:tblGrid>
      <w:tr>
        <w:tc>
          <w:tcPr>
            <w:tcW w:type="dxa" w:w="10035"/>
            <w:shd w:val="clear" w:color="auto" w:fill="595959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</w:tcPr>
          <w:p>
            <w:pPr>
              <w:spacing w:before="60" w:after="60"/>
            </w:pPr>
            <w:r>
              <w:rPr>
                <w:b/>
                <w:color w:val="FFFFFF"/>
                <w:sz w:val="25"/>
              </w:rPr>
              <w:t>2. Lectura y comprensión (orientativas)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sz w:val="22"/>
        </w:rPr>
        <w:t>1. Es de la persona que habla (mía).</w:t>
      </w:r>
    </w:p>
    <w:p>
      <w:pPr>
        <w:spacing w:after="120"/>
      </w:pPr>
      <w:r>
        <w:rPr>
          <w:sz w:val="22"/>
        </w:rPr>
        <w:t>2. Tres.</w:t>
      </w:r>
    </w:p>
    <w:p>
      <w:pPr>
        <w:spacing w:after="120"/>
      </w:pPr>
      <w:r>
        <w:rPr>
          <w:sz w:val="22"/>
        </w:rPr>
        <w:t>3. "Esta" o "Aquellos".</w:t>
      </w:r>
    </w:p>
    <w:p>
      <w:pPr>
        <w:spacing w:after="40"/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Layout w:type="fixed"/>
        <w:tblW w:w="10034" w:type="dxa"/>
        <w:tblInd w:w="0" w:type="dxa"/>
      </w:tblPr>
      <w:tblGrid>
        <w:gridCol w:w="10092"/>
      </w:tblGrid>
      <w:tr>
        <w:tc>
          <w:tcPr>
            <w:tcW w:type="dxa" w:w="10035"/>
            <w:shd w:val="clear" w:color="auto" w:fill="595959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</w:tcPr>
          <w:p>
            <w:pPr>
              <w:spacing w:before="60" w:after="60"/>
            </w:pPr>
            <w:r>
              <w:rPr>
                <w:b/>
                <w:color w:val="FFFFFF"/>
                <w:sz w:val="25"/>
              </w:rPr>
              <w:t>3. Ortografía — Los demostrativos sin tilde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sz w:val="22"/>
        </w:rPr>
        <w:t>este (libro) → este</w:t>
      </w:r>
    </w:p>
    <w:p>
      <w:pPr>
        <w:spacing w:after="80"/>
      </w:pPr>
      <w:r>
        <w:rPr>
          <w:sz w:val="22"/>
        </w:rPr>
        <w:t>esa (casa) → esa</w:t>
      </w:r>
    </w:p>
    <w:p>
      <w:pPr>
        <w:spacing w:after="80"/>
      </w:pPr>
      <w:r>
        <w:rPr>
          <w:sz w:val="22"/>
        </w:rPr>
        <w:t>aquellos (años) → aquellos</w:t>
      </w:r>
    </w:p>
    <w:p>
      <w:pPr>
        <w:spacing w:after="80"/>
      </w:pPr>
      <w:r>
        <w:rPr>
          <w:sz w:val="22"/>
        </w:rPr>
        <w:t>esta (tarde) → esta</w:t>
      </w:r>
    </w:p>
    <w:sectPr w:rsidR="00FC693F" w:rsidRPr="0006063C" w:rsidSect="00034616">
      <w:pgSz w:w="11906" w:h="16838"/>
      <w:pgMar w:top="737" w:right="907" w:bottom="737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before="0" w:line="24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