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LOS SINTAGMAS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Sobre la vieja alfombra de la abuela.</w:t>
      </w:r>
    </w:p>
    <w:p>
      <w:pPr>
        <w:spacing w:after="120"/>
      </w:pPr>
      <w:r>
        <w:rPr>
          <w:sz w:val="22"/>
        </w:rPr>
        <w:t>2. El olor de la comida.</w:t>
      </w:r>
    </w:p>
    <w:p>
      <w:pPr>
        <w:spacing w:after="120"/>
      </w:pPr>
      <w:r>
        <w:rPr>
          <w:sz w:val="22"/>
        </w:rPr>
        <w:t>3. Ejemplo: "de la abuela" o "de la cocina".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Concordancia dentro del sintagma nominal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el mesa roja → la mesa roja</w:t>
      </w:r>
    </w:p>
    <w:p>
      <w:pPr>
        <w:spacing w:after="80"/>
      </w:pPr>
      <w:r>
        <w:rPr>
          <w:sz w:val="22"/>
        </w:rPr>
        <w:t>los niño alto → los niños altos</w:t>
      </w:r>
    </w:p>
    <w:p>
      <w:pPr>
        <w:spacing w:after="80"/>
      </w:pPr>
      <w:r>
        <w:rPr>
          <w:sz w:val="22"/>
        </w:rPr>
        <w:t>una gato bonito → un gato bonito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