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EL TEXTO TEATRAL</w:t>
      </w:r>
    </w:p>
    <w:p>
      <w:pPr>
        <w:spacing w:before="0" w:after="0"/>
      </w:pPr>
      <w:r>
        <w:rPr>
          <w:i/>
          <w:sz w:val="24"/>
        </w:rPr>
        <w:t>Hoja de soluciones · Lengua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Ana y Luis.</w:t>
      </w:r>
    </w:p>
    <w:p>
      <w:pPr>
        <w:spacing w:after="120"/>
      </w:pPr>
      <w:r>
        <w:rPr>
          <w:sz w:val="22"/>
        </w:rPr>
        <w:t>2. Bajo el viejo roble.</w:t>
      </w:r>
    </w:p>
    <w:p>
      <w:pPr>
        <w:spacing w:after="120"/>
      </w:pPr>
      <w:r>
        <w:rPr>
          <w:sz w:val="22"/>
        </w:rPr>
        <w:t>3. "(sorprendida)" o "(sonriendo)".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Las acotaciones entre paréntesis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___ ¡Vámonos ya! → (nervioso) ¡Vámonos ya!</w:t>
      </w:r>
    </w:p>
    <w:p>
      <w:pPr>
        <w:spacing w:after="80"/>
      </w:pPr>
      <w:r>
        <w:rPr>
          <w:sz w:val="22"/>
        </w:rPr>
        <w:t>___ No sé qué hacer. → (pensativa) No sé qué hacer.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