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ANEXO F: SECCIÓN 6.1 DEL PETI</w:t>
      </w:r>
    </w:p>
    <w:p>
      <w:r>
        <w:t>INSTITUTO SUPERIOR TECNOLÓGICO VERTIENTE SUR (CASO 07)</w:t>
      </w:r>
    </w:p>
    <w:p>
      <w:pPr>
        <w:pStyle w:val="Title"/>
      </w:pPr>
      <w:r>
        <w:t>6.1 Situación Actual del Gobierno Digital</w:t>
      </w:r>
    </w:p>
    <w:p>
      <w:r>
        <w:t>**Organización:** INSTITUTO SUPERIOR TECNOLÓGICO VERTIENTE SUR</w:t>
      </w:r>
    </w:p>
    <w:p>
      <w:r>
        <w:t>**Sector:** Educación Superior Tecnológica Privada · Tacna, Perú</w:t>
      </w:r>
    </w:p>
    <w:p>
      <w:r>
        <w:t>**Documento:** Sección 6.1 del Plan Estratégico de Tecnologías de la Información (PETI)</w:t>
      </w:r>
    </w:p>
    <w:p>
      <w:r>
        <w:t>**Periodo de Línea Base:** 2026</w:t>
      </w:r>
    </w:p>
    <w:p>
      <w:r>
        <w:t>---</w:t>
      </w:r>
    </w:p>
    <w:p>
      <w:pPr>
        <w:pStyle w:val="Heading2"/>
      </w:pPr>
      <w:r>
        <w:t>6.1.1 Marco Conceptual y Alcance</w:t>
      </w:r>
    </w:p>
    <w:p>
      <w:r>
        <w:t>El Decreto Legislativo 1412 (Ley de Gobierno Digital), su reglamento aprobado mediante Decreto Supremo 029-2021-PCM, y la Política Nacional de Transformación Digital al 2030 (D. S. 085-2023-PCM) establecen los fundamentos de la gobernanza, interoperabilidad, seguridad, datos, identidad y servicios digitales en el Perú.</w:t>
      </w:r>
    </w:p>
    <w:p>
      <w:r>
        <w:t>Aunque el **Instituto Superior Tecnológico Vertiente Sur** es una entidad de naturaleza privada (sociedad anónima cerrada de educación superior con 16 años de trayectoria, 3 240 estudiantes en 7 carreras profesionales y una facturación anual de S/ 19.7 millones), los principios de gobierno digital resultan plenamente aplicables y exigibles en virtud de su articulación con el ecosistema público:</w:t>
      </w:r>
    </w:p>
    <w:p>
      <w:r>
        <w:t>1. **Regulación Sectorial (MINEDU y SUNEDU):** Exigencia de cumplimiento de las Condiciones Básicas de Calidad (CBC II y CBC IV), reporte automatizado de matrícula, actas de notas y grados/títulos a los sistemas nacionales (SIAGIE, Registro Nacional de Certificados y Títulos del MINEDU).</w:t>
      </w:r>
    </w:p>
    <w:p>
      <w:r>
        <w:t>2. **Protección de Datos Personales (Ley 29733 y D. S. 003-2013-JUS):** Obligación de salvaguardar los bancos de datos de 3 240 estudiantes (incluyendo menores de edad en carreras de extensión o técnicas), docentes y personal administrativo, con medidas técnicas de seguridad de la información.</w:t>
      </w:r>
    </w:p>
    <w:p>
      <w:r>
        <w:t>3. **Equivalencia de Componentes de Gobierno Digital para la Organización Privada:**</w:t>
      </w:r>
    </w:p>
    <w:p>
      <w:r>
        <w:t>- **Gobernanza Digital:** Formalización del Comité de TI/Gobierno Digital institucional, aprobación del PETI y políticas de inversión tecnológica alineadas al plan de negocio.</w:t>
      </w:r>
    </w:p>
    <w:p>
      <w:r>
        <w:t>- **Servicios Digitales:** Transformación de trámites académicos y administrativos de ventanilla presencial a autoservicios transaccionales en línea.</w:t>
      </w:r>
    </w:p>
    <w:p>
      <w:r>
        <w:t>- **Identidad Digital:** Autenticación única robusta (SSO institucional) y Segundo Factor de Autenticación (MFA) para erradicar suplantaciones y alteraciones no autorizadas de notas.</w:t>
      </w:r>
    </w:p>
    <w:p>
      <w:r>
        <w:t>- **Interoperabilidad:** Integración de los silos internos (Sistema Académico ↔ Moodle ↔ Tesorería) e interoperabilidad con servicios externos del Estado (PIDE, RENIEC, pasarelas de pago, SUNAT).</w:t>
      </w:r>
    </w:p>
    <w:p>
      <w:r>
        <w:t>- **Seguridad Digital:** Implementación de un SGSI (ISO/IEC 27001), auditoría de accesos y planes de continuidad operativa con respaldos inmutables.</w:t>
      </w:r>
    </w:p>
    <w:p>
      <w:r>
        <w:t>- **Datos e Información:** Gobernanza de datos maestros, trazabilidad analítica y erradicación de cifras discrepantes en hojas de cálculo aisladas.</w:t>
      </w:r>
    </w:p>
    <w:p>
      <w:r>
        <w:t>---</w:t>
      </w:r>
    </w:p>
    <w:p>
      <w:pPr>
        <w:pStyle w:val="Heading2"/>
      </w:pPr>
      <w:r>
        <w:t>6.1.2 Catálogo de Servicios y su Nivel de Digitalización</w:t>
      </w:r>
    </w:p>
    <w:p>
      <w:r>
        <w:t>Se ha estructurado el catálogo formal de servicios que la institución presta a sus usuarios clave: estudiantes, docentes, egresados, postulantes y personal en planilla. Cada servicio ha sido evaluado bajo la escala estándar de digitalización de seis niveles (0 a 5):</w:t>
      </w:r>
    </w:p>
    <w:p>
      <w:r>
        <w:t>- **Nivel 0 (Nulo / Informativo físico):** Atención enteramente manual o analógica.</w:t>
      </w:r>
    </w:p>
    <w:p>
      <w:r>
        <w:t>- **Nivel 1 (Informativo web básico):** Información en portal, pero el trámite es presencial.</w:t>
      </w:r>
    </w:p>
    <w:p>
      <w:r>
        <w:t>- **Nivel 2 (Interactivo unidireccional):** Descarga de formularios o consulta pasiva de reportes.</w:t>
      </w:r>
    </w:p>
    <w:p>
      <w:r>
        <w:t>- **Nivel 3 (Transaccional parcial):** Inicio de solicitud o carga de archivos en plataforma, pero requiere validación o firma manual externa.</w:t>
      </w:r>
    </w:p>
    <w:p>
      <w:r>
        <w:t>- **Nivel 4 (Integrado bidireccional):** Trámite 100% digital de inicio a fin con pago integrado, validación automatizada y firma digital.</w:t>
      </w:r>
    </w:p>
    <w:p>
      <w:r>
        <w:t>- **Nivel 5 (Proactivo / Inteligente):** Emisión automatizada predictiva y personalización del servicio sin solicitud previa.</w:t>
      </w:r>
    </w:p>
    <w:p>
      <w:r>
        <w:t>#### Tabla del Catálogo de Servicios Auditado (GD01)</w:t>
      </w:r>
    </w:p>
    <w:p>
      <w:r>
        <w:t>| ID | Servicio | Usuario Destinatario | Volumen Anual | Nivel Actual (0–5) | Canales Actuales | Tiempo de Atención | Documentos Solicitados | Ya en Poder Institución | Sistemas de Soporte | Datos Pers. | Nivel Meta | Justificación de la Meta |</w:t>
      </w:r>
    </w:p>
    <w:p>
      <w:r>
        <w:t>|---|---|---|---|:---:|---|---|:---:|:---:|---|:---:|:---:|---|</w:t>
      </w:r>
    </w:p>
    <w:p>
      <w:r>
        <w:t>| **S-01** | Matrícula académica semestral | Estudiante | 6 480 | **1** | Ventanilla presencial (85%), Intranet preliminar (15%) | 3 a 5 días | 4 | 3 | Sistema académico, Cobranzas | Sí | **4** | Servicio troncal de mayor fricción; 100% digital elimina colas masivas. |</w:t>
      </w:r>
    </w:p>
    <w:p>
      <w:r>
        <w:t>| **S-02** | Registro y publicación de actas | Docente / Alumno | 45 360 | **2** | Intranet local, entrega de acta física | 7 días hábiles | 2 | 2 | Sistema académico | Sí | **4** | Firma digital de actas; erradica riesgo de alteración ilícita de notas. |</w:t>
      </w:r>
    </w:p>
    <w:p>
      <w:r>
        <w:t>| **S-03** | Pago de pensiones y comprobantes | Alumno / Apoderado | 32 400 | **1** | Caja física (60%), Depósito banco con voucher (40%) | 24 a 48 h | 2 | 1 | Cobranzas y Tesorería | Sí | **4** | Pasarela en línea y conciliación contable sin validación humana. |</w:t>
      </w:r>
    </w:p>
    <w:p>
      <w:r>
        <w:t>| **S-04** | Aula virtual y entrega de tareas | Estudiante / Docente | 129 600 | **3** | Plataforma web Moodle local | Inmediato / 4 d soporte | 0 | 0 | Moodle autoalojado | Sí | **4** | Plataforma crítica; sincronización automática LDAP/SSO y nube. |</w:t>
      </w:r>
    </w:p>
    <w:p>
      <w:r>
        <w:t>| **S-05** | Emisión de constancias y certificados | Estudiante / Egresado | 2 100 | **1** | Mesa de partes física valorada | 10 días hábiles | 3 | 3 | Sistema académico, Mesa partes | Sí | **4** | Autoservicio con firma digital y código QR; baja de 10 días a 2 min. |</w:t>
      </w:r>
    </w:p>
    <w:p>
      <w:r>
        <w:t>| **S-06** | Trámite de titulación profesional | Egresado | 480 | **1** | Ventanilla física (expediente 30+ folios) | 45 a 60 días | 7 | 5 | Sistema académico, legajo | Sí | **3** | Digitalización del expediente y seguimiento en línea de dictámenes. |</w:t>
      </w:r>
    </w:p>
    <w:p>
      <w:r>
        <w:t>| **S-07** | Admisión e inscripción de postulantes | Postulante externo | 1 450 | **1** | Formulario web + entrega física en campus | 48 horas | 4 | 0 | Módulo web, Sistema académico | Sí | **4** | Inscripción 100% digital con validación de identidad y pago online. |</w:t>
      </w:r>
    </w:p>
    <w:p>
      <w:r>
        <w:t>| **S-08** | Restablecimiento de credenciales | Comunidad institucional | 2 299 | **0** | Teléfono interno, WhatsApp, presencial | 24 a 72 horas | 1 | 1 | Atención manual en TI | Sí | **4** | Autoservicio con 2FA (MFA/OTP); descongestiona el 30% de llamadas. |</w:t>
      </w:r>
    </w:p>
    <w:p>
      <w:r>
        <w:t>| **S-09** | Préstamo de recursos bibliográficos | Estudiante / Docente | 8 500 | **1** | Mostrador físico en biblioteca | 15 min mostrador | 1 | 1 | PC aislada en biblioteca | Sí | **4** | Catálogo OPAC web y repositorio digital remoto para las 7 carreras. |</w:t>
      </w:r>
    </w:p>
    <w:p>
      <w:r>
        <w:t>| **S-10** | Solicitud de licencias y boletas de pago | Personal y Docentes | 2 640 | **1** | Oficina RRHH en papel firmado | 3 días hábiles | 2 | 1 | Módulo planillas en servidor | Sí | **4** | Portal del colaborador con firma electrónica de boletas y licencias. |</w:t>
      </w:r>
    </w:p>
    <w:p>
      <w:r>
        <w:t>#### Contraste Metodológico: Promedio Simple vs. Promedio Ponderado por Volumen</w:t>
      </w:r>
    </w:p>
    <w:p>
      <w:r>
        <w:t>- **Nivel Medio Simple Actual:** **1.20 de 5.00**</w:t>
      </w:r>
    </w:p>
    <w:p>
      <w:r>
        <w:t>- **Nivel Medio Ponderado por Volumen Anual:** **2.31 de 5.00**</w:t>
      </w:r>
    </w:p>
    <w:p>
      <w:r>
        <w:t>- **Interpretación Estratégica:** El promedio ponderado (2.31) resulta numéricamente superior al promedio simple (1.20) debido a la masividad de las interacciones de consulta en el aula virtual Moodle (129 600 interacciones en Nivel 3). Sin embargo, este valor enmascara una grave vulnerabilidad: **los servicios transaccionales críticos del instituto (matrícula, cobranzas, emisión de certificados y trámites de titulación) operan en Nivel 1 y Nivel 0**. El 80% de los trámites siguen anclados en colas presenciales, papel sellado y cotejo manual. La meta del PETI es alcanzar un **Nivel Ponderado Objetivo de 4.00 de 5.00**.</w:t>
      </w:r>
    </w:p>
    <w:p>
      <w:r>
        <w:t>---</w:t>
      </w:r>
    </w:p>
    <w:p>
      <w:pPr>
        <w:pStyle w:val="Heading2"/>
      </w:pPr>
      <w:r>
        <w:t>6.1.3 Aplicación del Principio de "Una Sola Vez" (Once-Only Principle)</w:t>
      </w:r>
    </w:p>
    <w:p>
      <w:r>
        <w:t>El principio de «una sola vez» estipula que ningún usuario debe ser obligado a entregar a la organización documentos, certificaciones o datos que esta ya posea, que ella misma haya expedido previamente o que se encuentren disponibles en sus propios sistemas o registros.</w:t>
      </w:r>
    </w:p>
    <w:p>
      <w:r>
        <w:t>#### Análisis Cuantitativo de Redundancia Documental</w:t>
      </w:r>
    </w:p>
    <w:p>
      <w:r>
        <w:t>- Total de documentos requeridos en el catálogo de servicios: **26 requisitos documentales**.</w:t>
      </w:r>
    </w:p>
    <w:p>
      <w:r>
        <w:t>- Documentos requeridos que **ya obran en poder de la institución**: **17 documentos**.</w:t>
      </w:r>
    </w:p>
    <w:p>
      <w:r>
        <w:t>- **Índice de Redundancia Documental Institucional:**</w:t>
      </w:r>
    </w:p>
    <w:p>
      <w:r>
        <w:t>$$\text{Índice de Redundancia} = \frac{17}{26} \times 100 = \mathbf{65.38 \%}$$</w:t>
      </w:r>
    </w:p>
    <w:p>
      <w:r>
        <w:t>#### Hallazgos Críticos de Ineficiencia Administrativa</w:t>
      </w:r>
    </w:p>
    <w:p>
      <w:r>
        <w:t>1. **Matrícula:** Se exige copia de DNI, ficha de matrícula impresa, voucher físico de depósito bancario y constancia de no adeudo. Tanto la ficha como la constancia de no adeudo son generadas por los propios módulos del instituto.</w:t>
      </w:r>
    </w:p>
    <w:p>
      <w:r>
        <w:t>2. **Certificados y Constancias:** Para tramitar una constancia de notas, se le exige al alumno presentar un Formulario Único de Trámite (FUT), copia de DNI y voucher físico de caja, obligándolo a recorrer tres oficinas distintas para obtener un documento cuyo contenido reside en la base de datos de TI.</w:t>
      </w:r>
    </w:p>
    <w:p>
      <w:r>
        <w:t>3. **Titulación:** El egresado debe adjuntar certificados modulares impresos que fueron expedidos por el propio instituto en años anteriores, constancia de no adeudo y copia autenticada de matrícula.</w:t>
      </w:r>
    </w:p>
    <w:p>
      <w:r>
        <w:t>- **Acción Inmediata en el PETI:** Erradicar mediante directiva institucional la exigencia de los 17 documentos redundantes, reemplazándolos por interoperabilidad interna directa entre módulos de software.</w:t>
      </w:r>
    </w:p>
    <w:p>
      <w:r>
        <w:t>---</w:t>
      </w:r>
    </w:p>
    <w:p>
      <w:pPr>
        <w:pStyle w:val="Heading2"/>
      </w:pPr>
      <w:r>
        <w:t>6.1.4 Diagnóstico por Eje con Línea Base</w:t>
      </w:r>
    </w:p>
    <w:p>
      <w:r>
        <w:t>Se evaluaron los 8 ejes del gobierno digital conforme a los lineamientos de la RSGD 005-2018-PCM/SEGDI y el D. S. 029-2021-PCM, abarcando 23 indicadores técnicos y organizacionales:</w:t>
      </w:r>
    </w:p>
    <w:p>
      <w:r>
        <w:t>| Eje de Gobierno Digital | Indicador Clave | Línea Base (2026) | Fuente y Fecha | Evidencia | Nivel (1–5) | Observación / Situación Detectada |</w:t>
      </w:r>
    </w:p>
    <w:p>
      <w:r>
        <w:t>|---|---|---|---|---|:---:|---|</w:t>
      </w:r>
    </w:p>
    <w:p>
      <w:r>
        <w:t>| **1. Gobernanza** | ¿Existe comité de TI formal con actas vigentes? | **No** (Existe en papel, 0 reuniones en 12 meses) | Entrevista a Dirección, junio 2026 | Sin actas en archivo | 1 | Inexistencia de gobierno corporativo para priorización de proyectos. |</w:t>
      </w:r>
    </w:p>
    <w:p>
      <w:r>
        <w:t>| **1. Gobernanza** | ¿Existe plan de TI (PETI) vigente? | **No** | Archivo institucional | Sin registro | 1 | Este PETI será el primero formulado en 16 años de operación. |</w:t>
      </w:r>
    </w:p>
    <w:p>
      <w:r>
        <w:t>| **1. Gobernanza** | % presupuesto institucional asignado a TI | **1.81 %** (S/ 356K de S/ 19.7M) | Presupuesto 2025 | Reporte contable | 2 | Brecha frente al benchmark educativo privado (3.5% a 5.0%). |</w:t>
      </w:r>
    </w:p>
    <w:p>
      <w:r>
        <w:t>| **2. Servicios** | Nivel medio ponderado de digitalización | **2.31 de 5.00** | Script GD02 | Matriz GD01 | 2 | Servicios de ventanilla altamente atrasados. |</w:t>
      </w:r>
    </w:p>
    <w:p>
      <w:r>
        <w:t>| **2. Servicios** | % trámites 100% digitales (cero papel) | **0 %** | Auditoría mesa de partes | TUPA institucional | 1 | Todos los trámites exigen validación física en campus. |</w:t>
      </w:r>
    </w:p>
    <w:p>
      <w:r>
        <w:t>| **2. Servicios** | Satisfacción de usuarios con servicios TI | **No se mide** | Cuestionario diagnóstico | Instrumento no validado | 1 | **Primer proyecto: Implementar medición continua CSAT/NPS.** |</w:t>
      </w:r>
    </w:p>
    <w:p>
      <w:r>
        <w:t>| **3. Interoperabilidad** | N.º integraciones automáticas entre sistemas | **0** | Arquitectura TI | Diagrama de sistemas | 1 | Silos aislados; transferencia manual de archivos planos. |</w:t>
      </w:r>
    </w:p>
    <w:p>
      <w:r>
        <w:t>| **3. Interoperabilidad** | Interoperabilidad con plataformas públicas | **0** (Carga manual SIAGIE) | Secretaría Académica | Sin Web Services | 1 | Sin integración con PIDE, RENIEC ni facturación web SUNAT. |</w:t>
      </w:r>
    </w:p>
    <w:p>
      <w:r>
        <w:t>| **3. Interoperabilidad** | Documentos redundantes solicitados | **65.38 %** (17 de 26) | Script GD02 | Catálogo GD01 | 1 | Severa transgresión del principio de una sola vez. |</w:t>
      </w:r>
    </w:p>
    <w:p>
      <w:r>
        <w:t>| **4. Seguridad Digital** | ¿Existe SGSI formalizado bajo ISO 27001? | **No** | Diagnóstico normativo | Sin políticas escritas | 1 | Incumplimiento que expone a sanciones de la ANPD. |</w:t>
      </w:r>
    </w:p>
    <w:p>
      <w:r>
        <w:t>| **4. Seguridad Digital** | Incidentes de seguridad registrados y contenidos | **0 registrados** (1 crítico admitido) | Ficha Sección G | 17 notas alteradas | 1 | **Cifra anormalmente baja:** Se resuelven de palabra y se olvidan. |</w:t>
      </w:r>
    </w:p>
    <w:p>
      <w:r>
        <w:t>| **4. Seguridad Digital** | % sistemas críticos con restauración probada | **0 %** | Ficha TI Sección F | Sin pruebas de restore | 1 | Moodle sin respaldos; 3 sistemas fuera de cobertura de copias. |</w:t>
      </w:r>
    </w:p>
    <w:p>
      <w:r>
        <w:t>| **5. Datos** | Entidades de datos maestras con dueño formal | **0 de 7** | Mesa de servicio | Sin ROL asignado | 1 | Alumnos, notas y pagos huérfanos de custodia formal. |</w:t>
      </w:r>
    </w:p>
    <w:p>
      <w:r>
        <w:t>| **5. Datos** | % decisiones estratégicas con datos analíticos | **No se mide** | Entrevista directiva | Hojas de cálculo | 1 | **Primer proyecto: Almacén de Datos Institucional y BI.** |</w:t>
      </w:r>
    </w:p>
    <w:p>
      <w:r>
        <w:t>| **5. Datos** | Cumplimiento Ley 29733 (Datos personales) | **No implementado** | Inventario regulatorio | Sin registro ANPD | 1 | Datos de menores de edad tratados sin resguardo legal diferenciado. |</w:t>
      </w:r>
    </w:p>
    <w:p>
      <w:r>
        <w:t>| **6. Identidad Digital** | Directorio activo o identidad única (SSO) | **No** | Inventario de accesos | Cuentas aisladas | 1 | Credenciales distintas en intranet, Moodle y correo. |</w:t>
      </w:r>
    </w:p>
    <w:p>
      <w:r>
        <w:t>| **6. Identidad Digital** | % sistemas con Segundo Factor (MFA) | **20 %** (1 de 5) | Auditoría de accesos | Solo correo en nube | 2 | Sistema de notas y Moodle operan con contraseña simple. |</w:t>
      </w:r>
    </w:p>
    <w:p>
      <w:r>
        <w:t>| **6. Identidad Digital** | Cumplimiento técnico de expiración/complejidad | **No exigible** | Caso alteración notas | Passwords=fechas nac. | 1 | Sistema académico legado no soporta restricciones técnicas. |</w:t>
      </w:r>
    </w:p>
    <w:p>
      <w:r>
        <w:t>| **7. Talento** | % personal capacitado en seguridad y digital | **0 % formal** | RRHH, Cuestionario P6 | Correos sin lectura | 1 | Ausencia de cultura de higiene digital y ciberseguridad. |</w:t>
      </w:r>
    </w:p>
    <w:p>
      <w:r>
        <w:t>| **7. Talento** | Ratio de personal de TI por usuario | **1 técnico por 1 146 usuarios** | Planilla TI (3 p.) / 3 440 | Ficha Institucional | 1 | Déficit severo de capacidad operativa y técnica. |</w:t>
      </w:r>
    </w:p>
    <w:p>
      <w:r>
        <w:t>| **8. Infraestructura** | Disponibilidad efectiva de sistemas (Uptime) | **No se mide** | Mesa de servicio | 22 caídas reportadas | 1 | **Primer proyecto: Instrumentar monitoreo Zabbix/Prometheus.** |</w:t>
      </w:r>
    </w:p>
    <w:p>
      <w:r>
        <w:t>| **8. Infraestructura** | % servidores con soporte vigente | **40 %** | Inventario hardware | Servidor propio 2017 | 2 | Servidor central con 9 años de operación al límite de vida útil. |</w:t>
      </w:r>
    </w:p>
    <w:p>
      <w:r>
        <w:t>| **8. Infraestructura** | Monitoreo proactivo de ancho de banda y red | **No se mide** | Mesa de servicio | 11 caídas de enlace | 1 | **Primer proyecto: Telemetría de red y QoS.** |</w:t>
      </w:r>
    </w:p>
    <w:p>
      <w:r>
        <w:t>---</w:t>
      </w:r>
    </w:p>
    <w:p>
      <w:pPr>
        <w:pStyle w:val="Heading2"/>
      </w:pPr>
      <w:r>
        <w:t>6.1.5 Indicadores Sin Línea Base</w:t>
      </w:r>
    </w:p>
    <w:p>
      <w:r>
        <w:t>En el diagnóstico se identificaron **4 indicadores clave en estado «No se mide»**. De acuerdo con el marco metodológico del curso SI-886, *sin línea base no puede fijarse meta ni demostrarse avance*; en consecuencia, el compromiso del PETI no consiste en prometer mejoras arbitrarias sobre variables desconocidas, sino en ejecutar de manera inmediata los proyectos de instrumentación técnica requeridos para empezar a medir con rigor:</w:t>
      </w:r>
    </w:p>
    <w:p>
      <w:r>
        <w:t>1. **Satisfacción del usuario con los servicios digitales de TI (Eje Servicios):**</w:t>
      </w:r>
    </w:p>
    <w:p>
      <w:r>
        <w:t>- *Proyecto de Instrumentación:* **INST-01: Mesa de Ayuda Omnicanal con Encuestas Automatizadas de Satisfacción (CSAT/NPS)**. Implementación de una plataforma de tickets (GLPI / Jira Service Management) que dispare automáticamente una métrica de satisfacción al cierre de cada atención y trámite digital.</w:t>
      </w:r>
    </w:p>
    <w:p>
      <w:r>
        <w:t>2. **Porcentaje de decisiones institucionales sustentadas en datos analíticos integrados (Eje Datos):**</w:t>
      </w:r>
    </w:p>
    <w:p>
      <w:r>
        <w:t>- *Proyecto de Instrumentación:* **INST-02: Implementación de Almacén de Datos Institucional y Cuadros de Mando Académico-Financiero**. Creación de un Data Mart centralizado y un tablero de BI en Metabase que unifique la información de matrícula, retención, cobranzas y rendimiento académico.</w:t>
      </w:r>
    </w:p>
    <w:p>
      <w:r>
        <w:t>3. **Disponibilidad efectiva de sistemas críticos / Uptime anual (Eje Infraestructura):**</w:t>
      </w:r>
    </w:p>
    <w:p>
      <w:r>
        <w:t>- *Proyecto de Instrumentación:* **INST-03: Despliegue de Sistema de Monitoreo Proactivo de Redes, Servidores y Servicios (Zabbix/Uptime Kuma)**. Instalación de sondas de telemetría y agentes de monitoreo 24/7 con umbrales de alerta temprana y cálculo automatizado de SLA y tiempo medio entre fallas (MTBF/MTTR).</w:t>
      </w:r>
    </w:p>
    <w:p>
      <w:r>
        <w:t>4. **Monitoreo proactivo de capacidad y ancho de banda de enlaces de telecomunicaciones (Eje Infraestructura):**</w:t>
      </w:r>
    </w:p>
    <w:p>
      <w:r>
        <w:t>- *Proyecto de Instrumentación:* **INST-04: Instrumentación de Telemetría de Red y Gestión de Ancho de Banda (SNMP/NetFlow y QoS)**. Monitoreo continuo del enlace WAN para auditar el cumplimiento del SLA del proveedor de internet y garantizar priorización de tráfico académico.</w:t>
      </w:r>
    </w:p>
    <w:p>
      <w:r>
        <w:t>---</w:t>
      </w:r>
    </w:p>
    <w:p>
      <w:pPr>
        <w:pStyle w:val="Heading2"/>
      </w:pPr>
      <w:r>
        <w:t>6.1.6 Nivel de Madurez del Gobierno Digital</w:t>
      </w:r>
    </w:p>
    <w:p>
      <w:r>
        <w:t>La evaluación integral ponderada sobre los 8 ejes arroja un puntaje global de:</w:t>
      </w:r>
    </w:p>
    <w:p>
      <w:r>
        <w:t>$$\text{Nivel de Madurez Institucional} = \mathbf{1.17 \text{ sobre } 5.00}$$</w:t>
      </w:r>
    </w:p>
    <w:p>
      <w:r>
        <w:t>#### Posicionamiento en el Modelo de Cinco Niveles</w:t>
      </w:r>
    </w:p>
    <w:p>
      <w:r>
        <w:t>El Instituto Superior Tecnológico Vertiente Sur se posiciona en el **NIVEL 1: INICIAL / AD-HOC (Vulnerable y Reactivo)**.</w:t>
      </w:r>
    </w:p>
    <w:p>
      <w:r>
        <w:t>- **Características Verificadas del Nivel 1 en la Organización:**</w:t>
      </w:r>
    </w:p>
    <w:p>
      <w:r>
        <w:t>- Los procesos no están documentados ni estandarizados. Dependen enteramente de iniciativas personales o de buena voluntad (por ejemplo, el aula virtual Moodle la mantiene un docente por afinidad sin contrato formal de TI).</w:t>
      </w:r>
    </w:p>
    <w:p>
      <w:r>
        <w:t>- La mesa de ayuda opera mediante una hoja de cálculo no oficial que un practicante actualiza al cierre del día, acumulando 125 incidentes crónicamente abiertos y un subregistro admitido de más del 50%.</w:t>
      </w:r>
    </w:p>
    <w:p>
      <w:r>
        <w:t>- No existen mecanismos de auditoría criptográfica, firma digital ni segundo factor de autenticación en los sistemas troncales, lo cual facilitó la alteración impune de 17 actas de notas durante el ejercicio.</w:t>
      </w:r>
    </w:p>
    <w:p>
      <w:r>
        <w:t>- La gobernanza de TI es inexistente en la práctica: el comité formal no sesiona y no existe presupuesto plurianual programado.</w:t>
      </w:r>
    </w:p>
    <w:p>
      <w:r>
        <w:t>- **Gráfica del Modelo:** Se construyó el Radar de Madurez por Eje (`graficos/GD_madurez.png`), el cual evidencia que 5 de los 8 ejes (Interoperabilidad, Seguridad, Datos, Talento e Infraestructura) se encuentran en puntaje basal de 1.00, requiriendo un salto estructurado hacia el **Nivel 3 (Definido)** al cierre del horizonte del PETI.</w:t>
      </w:r>
    </w:p>
    <w:p>
      <w:r>
        <w:t>---</w:t>
      </w:r>
    </w:p>
    <w:p>
      <w:pPr>
        <w:pStyle w:val="Heading2"/>
      </w:pPr>
      <w:r>
        <w:t>6.1.7 Síntesis · Las Brechas de Mayor Impacto</w:t>
      </w:r>
    </w:p>
    <w:p>
      <w:r>
        <w:t>Esta síntesis constituye el insumo directo para la formulación de los **Objetivos Estratégicos de TI (Sección 6.2 del PETI)**:</w:t>
      </w:r>
    </w:p>
    <w:p>
      <w:r>
        <w:t>#### 1. Concentración del Esfuerzo en los 5 Servicios de Mayor Brecha Ponderada</w:t>
      </w:r>
    </w:p>
    <w:p>
      <w:r>
        <w:t>El cálculo analítico de brechas ponderadas demuestra que el **92.66% del impacto operativo y reputacional** se concentra en solo 5 servicios:</w:t>
      </w:r>
    </w:p>
    <w:p>
      <w:r>
        <w:t>1. **S-04 Acceso y soporte al Aula Virtual (33.13% del esfuerzo total):** Con 129 600 atenciones, requiere pasar de una administración informal a una infraestructura en la nube de alta disponibilidad con integración SSO y respaldos inmutables.</w:t>
      </w:r>
    </w:p>
    <w:p>
      <w:r>
        <w:t>2. **S-03 Pago de pensiones y facturación (24.85% del esfuerzo total):** Con 32 400 transacciones, urge sustituir la validación manual de fotos de vouchers bancarios por una pasarela de pagos en línea con conciliación automática.</w:t>
      </w:r>
    </w:p>
    <w:p>
      <w:r>
        <w:t>3. **S-02 Registro de calificaciones y actas (23.19% del esfuerzo total):** Con 45 360 registros, es imperativo implementar firma digital y autenticación MFA para salvaguardar la fe pública académica.</w:t>
      </w:r>
    </w:p>
    <w:p>
      <w:r>
        <w:t>4. **S-09 Préstamo y recursos bibliográficos (6.52% del esfuerzo total):** Pasar de una PC aislada en biblioteca a un catálogo digital OPAC institucional remoto.</w:t>
      </w:r>
    </w:p>
    <w:p>
      <w:r>
        <w:t>5. **S-01 Matrícula académica semestral (4.97% del esfuerzo total):** Eliminar la ventanilla presencial para los 3 240 alumnos mediante matrícula web autoservicio.</w:t>
      </w:r>
    </w:p>
    <w:p>
      <w:r>
        <w:t>#### 2. Ejes Críticos de Vulnerabilidad Inmediata</w:t>
      </w:r>
    </w:p>
    <w:p>
      <w:r>
        <w:t>- **Seguridad Digital y Datos (Puntaje 1.00):** Exposición severa a multas de la ANPD por falta de medidas en datos de menores y falta de trazabilidad en notas.</w:t>
      </w:r>
    </w:p>
    <w:p>
      <w:r>
        <w:t>- **Gobernanza e Infraestructura (Puntaje 1.33):** Urgencia de reactivar el Comité de TI, aprobar el presente PETI y reemplazar el servidor académico con 9 años de obsolescencia.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