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rPr>
        <w:drawing>
          <wp:inline distB="0" distT="0" distL="0" distR="0">
            <wp:extent cx="994867" cy="1337361"/>
            <wp:effectExtent b="0" l="0" r="0" t="0"/>
            <wp:docPr descr="C:\Users\EPIS\Documents\upt.png" id="27"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SecOps</w:t>
      </w: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Rule="auto"/>
        <w:jc w:val="lef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Curso:BASE DE DATOS II</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Mag. Patrick Cuadros Quiroga</w:t>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ind w:left="2880" w:firstLine="72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240" w:lineRule="auto"/>
        <w:ind w:firstLine="720"/>
        <w:jc w:val="center"/>
        <w:rPr>
          <w:rFonts w:ascii="Arial" w:cs="Arial" w:eastAsia="Arial" w:hAnsi="Arial"/>
          <w:b w:val="1"/>
          <w:bCs w:val="1"/>
          <w:i w:val="1"/>
          <w:iCs w:val="1"/>
          <w:color w:val="000000"/>
          <w:sz w:val="28"/>
          <w:szCs w:val="28"/>
        </w:rPr>
      </w:pPr>
      <w:r w:rsidDel="00000000" w:rsidR="00000000" w:rsidRPr="00000000">
        <w:rPr>
          <w:rFonts w:ascii="Arial" w:cs="Arial" w:eastAsia="Arial" w:hAnsi="Arial"/>
          <w:b w:val="1"/>
          <w:bCs w:val="1"/>
          <w:i w:val="1"/>
          <w:iCs w:val="1"/>
          <w:color w:val="000000"/>
          <w:sz w:val="28"/>
          <w:szCs w:val="28"/>
          <w:rtl w:val="0"/>
        </w:rPr>
        <w:t xml:space="preserve">Flores Navarro, Eduardo Gino                    (2023076793)</w:t>
      </w:r>
    </w:p>
    <w:p w:rsidR="00000000" w:rsidDel="00000000" w:rsidP="00000000" w:rsidRDefault="00000000" w:rsidRPr="00000000" w14:paraId="00000015">
      <w:pPr>
        <w:spacing w:after="0" w:line="240" w:lineRule="auto"/>
        <w:ind w:firstLine="72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Choqueña, Mauricio Adrian</w:t>
        <w:tab/>
        <w:tab/>
        <w:tab/>
        <w:t xml:space="preserve">(2023076799)</w:t>
      </w:r>
    </w:p>
    <w:p w:rsidR="00000000" w:rsidDel="00000000" w:rsidP="00000000" w:rsidRDefault="00000000" w:rsidRPr="00000000" w14:paraId="00000016">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7">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B">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C">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D">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E">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F">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1">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2">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3">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8">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B">
      <w:pPr>
        <w:jc w:val="righ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C">
      <w:pPr>
        <w:spacing w:after="0" w:lineRule="auto"/>
        <w:jc w:val="right"/>
        <w:rPr>
          <w:color w:val="000000"/>
        </w:rPr>
      </w:pPr>
      <w:r w:rsidDel="00000000" w:rsidR="00000000" w:rsidRPr="00000000">
        <w:rPr>
          <w:rFonts w:ascii="Arial" w:cs="Arial" w:eastAsia="Arial" w:hAnsi="Arial"/>
          <w:b w:val="1"/>
          <w:bCs w:val="1"/>
          <w:sz w:val="36"/>
          <w:szCs w:val="36"/>
          <w:rtl w:val="0"/>
        </w:rPr>
        <w:t xml:space="preserve"> Proyecto Enmask</w:t>
      </w:r>
      <w:r w:rsidDel="00000000" w:rsidR="00000000" w:rsidRPr="00000000">
        <w:rPr>
          <w:rtl w:val="0"/>
        </w:rPr>
      </w:r>
    </w:p>
    <w:p w:rsidR="00000000" w:rsidDel="00000000" w:rsidP="00000000" w:rsidRDefault="00000000" w:rsidRPr="00000000" w14:paraId="0000002D">
      <w:pPr>
        <w:pStyle w:val="Title"/>
        <w:jc w:val="right"/>
        <w:rPr>
          <w:color w:val="000000"/>
        </w:rPr>
      </w:pPr>
      <w:r w:rsidDel="00000000" w:rsidR="00000000" w:rsidRPr="00000000">
        <w:rPr>
          <w:rtl w:val="0"/>
        </w:rPr>
      </w:r>
    </w:p>
    <w:p w:rsidR="00000000" w:rsidDel="00000000" w:rsidP="00000000" w:rsidRDefault="00000000" w:rsidRPr="00000000" w14:paraId="0000002E">
      <w:pPr>
        <w:pStyle w:val="Title"/>
        <w:jc w:val="right"/>
        <w:rPr>
          <w:color w:val="000000"/>
          <w:sz w:val="28"/>
          <w:szCs w:val="28"/>
        </w:rPr>
      </w:pPr>
      <w:r w:rsidDel="00000000" w:rsidR="00000000" w:rsidRPr="00000000">
        <w:rPr>
          <w:color w:val="000000"/>
          <w:sz w:val="28"/>
          <w:szCs w:val="28"/>
          <w:rtl w:val="0"/>
        </w:rPr>
        <w:t xml:space="preserve">Versión </w:t>
      </w:r>
      <w:r w:rsidDel="00000000" w:rsidR="00000000" w:rsidRPr="00000000">
        <w:rPr>
          <w:i w:val="1"/>
          <w:iCs w:val="1"/>
          <w:sz w:val="28"/>
          <w:szCs w:val="28"/>
          <w:rtl w:val="0"/>
        </w:rPr>
        <w:t xml:space="preserve">3.0</w:t>
      </w:r>
      <w:r w:rsidDel="00000000" w:rsidR="00000000" w:rsidRPr="00000000">
        <w:rPr>
          <w:rtl w:val="0"/>
        </w:rPr>
      </w:r>
    </w:p>
    <w:p w:rsidR="00000000" w:rsidDel="00000000" w:rsidP="00000000" w:rsidRDefault="00000000" w:rsidRPr="00000000" w14:paraId="0000002F">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45">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46">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49">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04B">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MPV</w:t>
            </w:r>
          </w:p>
        </w:tc>
        <w:tc>
          <w:tcPr/>
          <w:p w:rsidR="00000000" w:rsidDel="00000000" w:rsidP="00000000" w:rsidRDefault="00000000" w:rsidRPr="00000000" w14:paraId="0000004C">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ELV</w:t>
            </w:r>
          </w:p>
        </w:tc>
        <w:tc>
          <w:tcPr/>
          <w:p w:rsidR="00000000" w:rsidDel="00000000" w:rsidP="00000000" w:rsidRDefault="00000000" w:rsidRPr="00000000" w14:paraId="0000004D">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ARV</w:t>
            </w:r>
          </w:p>
        </w:tc>
        <w:tc>
          <w:tcPr>
            <w:vAlign w:val="center"/>
          </w:tcPr>
          <w:p w:rsidR="00000000" w:rsidDel="00000000" w:rsidP="00000000" w:rsidRDefault="00000000" w:rsidRPr="00000000" w14:paraId="0000004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10/10/2026</w:t>
            </w:r>
          </w:p>
        </w:tc>
        <w:tc>
          <w:tcPr>
            <w:shd w:fill="auto" w:val="clear"/>
            <w:vAlign w:val="center"/>
          </w:tcPr>
          <w:p w:rsidR="00000000" w:rsidDel="00000000" w:rsidP="00000000" w:rsidRDefault="00000000" w:rsidRPr="00000000" w14:paraId="0000004F">
            <w:pPr>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bl>
    <w:p w:rsidR="00000000" w:rsidDel="00000000" w:rsidP="00000000" w:rsidRDefault="00000000" w:rsidRPr="00000000" w14:paraId="00000050">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1">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2">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u w:val="single"/>
        </w:rPr>
      </w:pPr>
      <w:r w:rsidDel="00000000" w:rsidR="00000000" w:rsidRPr="00000000">
        <w:rPr>
          <w:rtl w:val="0"/>
        </w:rPr>
      </w:r>
    </w:p>
    <w:sdt>
      <w:sdtPr>
        <w:id w:val="-1338607074"/>
        <w:docPartObj>
          <w:docPartGallery w:val="Table of Contents"/>
          <w:docPartUnique w:val="1"/>
        </w:docPartObj>
      </w:sdtPr>
      <w:sdtContent>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qn5cc307hq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pt444f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Nombre del Proyecto</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m6xehhxx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Descripción General</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p4hcixhj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6t6f6of9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Específicos</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tqqxk355d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Alcance</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dv29upq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incluido en el Proyecto (Funcionalidades Entregables)</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fuv9oc42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Excluido del Proyecto (Fuera de Alcance)</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kwztb3tuna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Riesgos</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act5h7syq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Riesgos de Seguridad</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vosejnrxg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Riesgos Operativos</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43iuc5ev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de Rendimiento</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qv2gcrrf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General de Riesgos</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h5jdg83so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de la Situación Actual</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207iakcm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Procesos Manuales y Fragmentados de Extracción de Datos</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wxgv9ccz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Heterogeneidad de Motores y Ausencia de una Solución Unificada</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xx986r7p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Problemas de Rendimiento y Cuellos de Botella</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4khk5shf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Riesgos de Seguridad y Exposición de Datos Sensibles</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17pnwukm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Ausencia de Auditoría y Trazabilidad</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egmduebf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Elevados Costos Operativos y de Mantenimiento</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eddkn0xu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Análisis de Brechas y Necesidades No Cubiertas</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iainyes7tw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Factibilidad Técnica</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bkxvdh4z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Descripción</w:t>
              <w:tab/>
              <w:t xml:space="preserve">25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liipfcyg7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Requerido</w:t>
              <w:tab/>
              <w:t xml:space="preserve">25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1owfg996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Requerido</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hf4d92jj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Lenguajes y Frameworks</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5uhsd038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Desarrollo Web</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63wufyc1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Bases de Datos</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7no7ys3g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Herramientas Complementarias</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otyt4t3a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Disponibilidad de la Tecnología</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1gsjhd43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Disponibilidad del Personal</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8fsy45hw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Viabilidad de Integración</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mvscb9sw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Desarrollo de Factibilidad</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jlo3h9gmn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Factibilidad Económica</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1hywvz46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Conclusión sobre la Factibilidad Económica</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pli8luz7w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Factibilidad Legal</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ojg892pu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Normativas aplicables.</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h8hweejm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legal del sistema.</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bcuqmxb1o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Factibilidad Social</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6fqxn82z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Aceptación por parte de los usuarios.</w:t>
              <w:tab/>
              <w:t xml:space="preserve">35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779858x3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en la organización.</w:t>
              <w:tab/>
              <w:t xml:space="preserve">35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86mh8cpc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Barreras sociales potenciales.</w:t>
              <w:tab/>
              <w:t xml:space="preserve">36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mnyp47vh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Factibilidad Ambiental</w:t>
              <w:tab/>
              <w:t xml:space="preserve">36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1ek6aqt7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recursos.</w:t>
              <w:tab/>
              <w:t xml:space="preserve">36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4j0du68l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Sostenibilidad y buenas prácticas.</w:t>
              <w:tab/>
              <w:t xml:space="preserve">37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l521vo26j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impacto.</w:t>
              <w:tab/>
              <w:t xml:space="preserve">37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u9urune4rx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Análisis Financiero</w:t>
              <w:tab/>
              <w:t xml:space="preserve">38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mtl77wih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Inversión Inicial (CAPEX)</w:t>
              <w:tab/>
              <w:t xml:space="preserve">38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262olrsks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Costos Operativos (OPEX)</w:t>
              <w:tab/>
              <w:t xml:space="preserve">39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aclsf344s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Beneficios Proyectados</w:t>
              <w:tab/>
              <w:t xml:space="preserve">40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wgfpgifg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Indicadores Financieros</w:t>
              <w:tab/>
              <w:t xml:space="preserve">41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5o03ew6h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Análisis de Sensibilidad</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o7mwrg0x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Conclusión del Análisis Financiero</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yeauhejdq4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Conclusiones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Informe de Factibilidad</w:t>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3">
      <w:pPr>
        <w:pStyle w:val="Heading1"/>
        <w:numPr>
          <w:ilvl w:val="0"/>
          <w:numId w:val="12"/>
        </w:numPr>
        <w:tabs>
          <w:tab w:val="left" w:leader="none" w:pos="-155.78740157480206"/>
          <w:tab w:val="right" w:leader="none" w:pos="8494"/>
        </w:tabs>
        <w:spacing w:after="100" w:line="480" w:lineRule="auto"/>
        <w:ind w:left="720" w:hanging="1003.4645669291338"/>
        <w:rPr>
          <w:rFonts w:ascii="Times New Roman" w:cs="Times New Roman" w:eastAsia="Times New Roman" w:hAnsi="Times New Roman"/>
          <w:color w:val="000000"/>
          <w:sz w:val="24"/>
          <w:szCs w:val="24"/>
        </w:rPr>
      </w:pPr>
      <w:bookmarkStart w:colFirst="0" w:colLast="0" w:name="_heading=h.fqn5cc307hqa" w:id="0"/>
      <w:bookmarkEnd w:id="0"/>
      <w:hyperlink w:anchor="_heading=h.thzj8jtb1l5y">
        <w:r w:rsidDel="00000000" w:rsidR="00000000" w:rsidRPr="00000000">
          <w:rPr>
            <w:rFonts w:ascii="Times New Roman" w:cs="Times New Roman" w:eastAsia="Times New Roman" w:hAnsi="Times New Roman"/>
            <w:color w:val="000000"/>
            <w:sz w:val="24"/>
            <w:szCs w:val="24"/>
            <w:rtl w:val="0"/>
          </w:rPr>
          <w:t xml:space="preserve">Descripción del Proyecto</w:t>
        </w:r>
      </w:hyperlink>
      <w:r w:rsidDel="00000000" w:rsidR="00000000" w:rsidRPr="00000000">
        <w:rPr>
          <w:rtl w:val="0"/>
        </w:rPr>
      </w:r>
    </w:p>
    <w:p w:rsidR="00000000" w:rsidDel="00000000" w:rsidP="00000000" w:rsidRDefault="00000000" w:rsidRPr="00000000" w14:paraId="000000A4">
      <w:pPr>
        <w:pStyle w:val="Heading2"/>
        <w:tabs>
          <w:tab w:val="left" w:leader="none" w:pos="440"/>
          <w:tab w:val="right" w:leader="none" w:pos="8494"/>
        </w:tabs>
        <w:spacing w:line="480" w:lineRule="auto"/>
        <w:rPr/>
      </w:pPr>
      <w:bookmarkStart w:colFirst="0" w:colLast="0" w:name="_heading=h.uspt444f78" w:id="1"/>
      <w:bookmarkEnd w:id="1"/>
      <w:r w:rsidDel="00000000" w:rsidR="00000000" w:rsidRPr="00000000">
        <w:rPr>
          <w:rtl w:val="0"/>
        </w:rPr>
        <w:t xml:space="preserve">Nombre del Proyecto</w:t>
      </w:r>
    </w:p>
    <w:p w:rsidR="00000000" w:rsidDel="00000000" w:rsidP="00000000" w:rsidRDefault="00000000" w:rsidRPr="00000000" w14:paraId="000000A5">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Enmask v2.0</w:t>
      </w:r>
    </w:p>
    <w:p w:rsidR="00000000" w:rsidDel="00000000" w:rsidP="00000000" w:rsidRDefault="00000000" w:rsidRPr="00000000" w14:paraId="000000A6">
      <w:pPr>
        <w:pStyle w:val="Heading2"/>
        <w:tabs>
          <w:tab w:val="left" w:leader="none" w:pos="440"/>
          <w:tab w:val="right" w:leader="none" w:pos="8494"/>
        </w:tabs>
        <w:spacing w:line="480" w:lineRule="auto"/>
        <w:rPr/>
      </w:pPr>
      <w:bookmarkStart w:colFirst="0" w:colLast="0" w:name="_heading=h.swm6xehhxxsu" w:id="2"/>
      <w:bookmarkEnd w:id="2"/>
      <w:r w:rsidDel="00000000" w:rsidR="00000000" w:rsidRPr="00000000">
        <w:rPr>
          <w:rtl w:val="0"/>
        </w:rPr>
        <w:t xml:space="preserve">Descripción General</w:t>
      </w:r>
    </w:p>
    <w:p w:rsidR="00000000" w:rsidDel="00000000" w:rsidP="00000000" w:rsidRDefault="00000000" w:rsidRPr="00000000" w14:paraId="000000A7">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Enmask v2.0 es una plataforma web de protección de datos sensibles (PII - Personally Identifiable Information) diseñada para entornos de desarrollo, testing, capacitación y análisis de datos. Su propósito fundamental es permitir que las organizaciones trabajen con copias funcionales de sus bases de datos productivas sin exponer información confidencial de clientes, empleados o usuarios.</w:t>
      </w:r>
    </w:p>
    <w:p w:rsidR="00000000" w:rsidDel="00000000" w:rsidP="00000000" w:rsidRDefault="00000000" w:rsidRPr="00000000" w14:paraId="000000A8">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las soluciones tradicionales que procesan los datos en la capa de aplicación (generando cuellos de botella y moviendo grandes volúmenes de datos a través de la red), Enmask v2.0 delega el procesamiento directamente a los motores de bases de datos. Esta decisión arquitectónica, basada en las recomendaciones de un ingeniero de software senior, permite aprovechar las funciones nativas de cada motor (procedimientos almacenados, funciones de hash, encriptación simétrica, scripts Lua, etc.), logrando un rendimiento superior y una seguridad robusta.</w:t>
      </w:r>
    </w:p>
    <w:p w:rsidR="00000000" w:rsidDel="00000000" w:rsidP="00000000" w:rsidRDefault="00000000" w:rsidRPr="00000000" w14:paraId="000000AA">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dos niveles de protección, seleccionables por el usuario según su necesidad:</w:t>
      </w:r>
    </w:p>
    <w:p w:rsidR="00000000" w:rsidDel="00000000" w:rsidP="00000000" w:rsidRDefault="00000000" w:rsidRPr="00000000" w14:paraId="000000AC">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18"/>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1 – Enmascaramiento Estático (Virtual): Crea columnas o campos derivados aplicando ofuscación (hash, sustitución con datos ficticios de Faker, redacción). El dato original permanece intacto en la base de datos. Ideal para entornos de desarrollo y QA donde se necesita la estructura real pero con datos ficticios.</w:t>
      </w:r>
    </w:p>
    <w:p w:rsidR="00000000" w:rsidDel="00000000" w:rsidP="00000000" w:rsidRDefault="00000000" w:rsidRPr="00000000" w14:paraId="000000AE">
      <w:pPr>
        <w:numPr>
          <w:ilvl w:val="0"/>
          <w:numId w:val="18"/>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2 – Encriptación Física (Irreversible sin llave): Sobrescribe el campo original con cifrado AES-256. La llave simétrica es generada automáticamente por el sistema y custodiada en un "Vault" cifrado (accesible exclusivamente para administradores). Este nivel cumple con normativas estrictas (GDPR, PCI-DSS, HIPAA) al hacer que los datos sean irrecuperables sin autorización expresa.</w:t>
      </w:r>
    </w:p>
    <w:p w:rsidR="00000000" w:rsidDel="00000000" w:rsidP="00000000" w:rsidRDefault="00000000" w:rsidRPr="00000000" w14:paraId="000000AF">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está desarrollado bajo los principios de Clean Architecture y Domain-Driven Design (DDD), con un backend en FastAPI (Python 3.12+) y un frontend en React + TypeScript + Vite. Su diseño modular permite extender el soporte a nuevos motores de bases de datos sin afectar la lógica de negocio central.</w:t>
      </w:r>
    </w:p>
    <w:p w:rsidR="00000000" w:rsidDel="00000000" w:rsidP="00000000" w:rsidRDefault="00000000" w:rsidRPr="00000000" w14:paraId="000000B1">
      <w:pPr>
        <w:pStyle w:val="Heading2"/>
        <w:tabs>
          <w:tab w:val="left" w:leader="none" w:pos="440"/>
          <w:tab w:val="right" w:leader="none" w:pos="8494"/>
        </w:tabs>
        <w:spacing w:line="480" w:lineRule="auto"/>
        <w:rPr/>
      </w:pPr>
      <w:bookmarkStart w:colFirst="0" w:colLast="0" w:name="_heading=h.w6p4hcixhjyn" w:id="3"/>
      <w:bookmarkEnd w:id="3"/>
      <w:r w:rsidDel="00000000" w:rsidR="00000000" w:rsidRPr="00000000">
        <w:rPr>
          <w:rtl w:val="0"/>
        </w:rPr>
        <w:t xml:space="preserve">Objetivo General</w:t>
      </w:r>
    </w:p>
    <w:p w:rsidR="00000000" w:rsidDel="00000000" w:rsidP="00000000" w:rsidRDefault="00000000" w:rsidRPr="00000000" w14:paraId="000000B2">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una plataforma de enmascaramiento y encriptación estática de datos que permita a las organizaciones proteger información sensible en entornos no productivos, mediante la aplicación de técnicas nativas de ofuscación y cifrado directamente en los motores de bases de datos (relacionales y no relacionales), garantizando la integridad referencial, la trazabilidad mediante auditoría y el cumplimiento normativo vigente.</w:t>
      </w:r>
    </w:p>
    <w:p w:rsidR="00000000" w:rsidDel="00000000" w:rsidP="00000000" w:rsidRDefault="00000000" w:rsidRPr="00000000" w14:paraId="000000B3">
      <w:pPr>
        <w:pStyle w:val="Heading2"/>
        <w:tabs>
          <w:tab w:val="left" w:leader="none" w:pos="440"/>
          <w:tab w:val="right" w:leader="none" w:pos="8494"/>
        </w:tabs>
        <w:spacing w:line="480" w:lineRule="auto"/>
        <w:rPr/>
      </w:pPr>
      <w:bookmarkStart w:colFirst="0" w:colLast="0" w:name="_heading=h.m86t6f6of9e4" w:id="4"/>
      <w:bookmarkEnd w:id="4"/>
      <w:r w:rsidDel="00000000" w:rsidR="00000000" w:rsidRPr="00000000">
        <w:rPr>
          <w:rtl w:val="0"/>
        </w:rPr>
        <w:t xml:space="preserve">Objetivos Específicos</w:t>
      </w:r>
    </w:p>
    <w:p w:rsidR="00000000" w:rsidDel="00000000" w:rsidP="00000000" w:rsidRDefault="00000000" w:rsidRPr="00000000" w14:paraId="000000B4">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objetivos específicos del proyecto se desglosan en las siguientes metas técnicas, funcionales y de seguridad:</w:t>
      </w:r>
    </w:p>
    <w:p w:rsidR="00000000" w:rsidDel="00000000" w:rsidP="00000000" w:rsidRDefault="00000000" w:rsidRPr="00000000" w14:paraId="000000B5">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sdt>
      <w:sdtPr>
        <w:lock w:val="contentLocked"/>
        <w:id w:val="-1690954450"/>
        <w:tag w:val="goog_rdk_1"/>
      </w:sdtPr>
      <w:sdtContent>
        <w:tbl>
          <w:tblPr>
            <w:tblStyle w:val="Table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805"/>
            <w:gridCol w:w="4830"/>
            <w:tblGridChange w:id="0">
              <w:tblGrid>
                <w:gridCol w:w="825"/>
                <w:gridCol w:w="2805"/>
                <w:gridCol w:w="4830"/>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Nro</w:t>
                </w:r>
              </w:p>
            </w:tc>
            <w:tc>
              <w:tcPr>
                <w:tcBorders>
                  <w:top w:color="434343" w:space="0" w:sz="8" w:val="single"/>
                  <w:left w:color="434343" w:space="0" w:sz="8" w:val="single"/>
                  <w:bottom w:color="434343" w:space="0" w:sz="8" w:val="single"/>
                  <w:right w:color="434343" w:space="0" w:sz="8"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w:t>
                </w:r>
              </w:p>
            </w:tc>
            <w:tc>
              <w:tcPr>
                <w:tcBorders>
                  <w:top w:color="434343" w:space="0" w:sz="8" w:val="single"/>
                  <w:left w:color="434343" w:space="0" w:sz="8" w:val="single"/>
                  <w:bottom w:color="434343" w:space="0" w:sz="8" w:val="single"/>
                  <w:right w:color="434343" w:space="0" w:sz="8" w:val="single"/>
                </w:tcBorders>
                <w:shd w:fill="a2c4c9"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Multi-Motor</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conectores y estrategias de enmascaramiento/encriptación para 7 motores de bases de datos: PostgreSQL, MySQL, SQL Server (relacionales); MongoDB, Cassandra (no relacionales); Redis y Neo4j (especializados).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Niveles de Protección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Proveer al usuario la capacidad de elegir entre enmascaramiento virtual (Nivel 1, manteniendo el original) y encriptación física (Nivel 2, sobreescribiendo el original con cifrado simétrico).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Automática de PII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motor de heurísticas basado en expresiones regulares que analice los metadatos de las bases de datos (nombres de columnas, campos, claves) y sugiera automáticamente reglas de enmascaramiento para campos sensibles (email, teléfono, DNI, dirección,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Orquestación de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Construir un orquestador inteligente (JobOrchestrator) que, al recibir la solicitud de ejecución, detecte el tipo de motor y aplique la estrategia correspondiente (función PL/pgSQL, $function de MongoDB, script Lua en Redis, etc.), actualizando el estado del job y registrando cada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Segura de Llaves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módulo de bóveda (Vault) que genere, cifre (con una MASTER_KEY global) y almacene las llaves simétricas utilizadas en el Nivel 2, permitiendo su rotación programada y su revocación controlada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Auditoría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en un AuditLog cada consulta a datos sensibles (especialmente las realizadas por usuarios invitados o las solicitudes de desenmascaramiento), almacenando quién, cuándo y qué datos fueron accedidos.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Usuario Unificada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sdt>
                  <w:sdtPr>
                    <w:id w:val="-203665647"/>
                    <w:tag w:val="goog_rdk_0"/>
                  </w:sdtPr>
                  <w:sdtContent>
                    <w:r w:rsidDel="00000000" w:rsidR="00000000" w:rsidRPr="00000000">
                      <w:rPr>
                        <w:rFonts w:ascii="Cardo" w:cs="Cardo" w:eastAsia="Cardo" w:hAnsi="Cardo"/>
                        <w:rtl w:val="0"/>
                      </w:rPr>
                      <w:t xml:space="preserve">Desarrollar un frontend en React que abstraiga la complejidad de los 7 motores, ofreciendo un flujo de trabajo intuitivo (conexión → detección → creación de reglas → ejecución de jobs → visualización de resultados).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y 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Asegurar que los procesos de enmascaramiento y encriptación se ejecuten en el motor de base de datos (evitando la transferencia masiva de datos por la red), garantizando tiempos de respuesta inferiores a 5 segundos para tablas de hasta 10 millones de registros.</w:t>
                </w:r>
              </w:p>
            </w:tc>
          </w:tr>
        </w:tbl>
      </w:sdtContent>
    </w:sdt>
    <w:p w:rsidR="00000000" w:rsidDel="00000000" w:rsidP="00000000" w:rsidRDefault="00000000" w:rsidRPr="00000000" w14:paraId="000000D2">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2"/>
        <w:tabs>
          <w:tab w:val="left" w:leader="none" w:pos="440"/>
          <w:tab w:val="right" w:leader="none" w:pos="8494"/>
        </w:tabs>
        <w:spacing w:line="480" w:lineRule="auto"/>
        <w:rPr/>
      </w:pPr>
      <w:bookmarkStart w:colFirst="0" w:colLast="0" w:name="_heading=h.3utqqxk355d1" w:id="5"/>
      <w:bookmarkEnd w:id="5"/>
      <w:r w:rsidDel="00000000" w:rsidR="00000000" w:rsidRPr="00000000">
        <w:rPr>
          <w:rtl w:val="0"/>
        </w:rPr>
        <w:t xml:space="preserve">Alcance</w:t>
      </w:r>
    </w:p>
    <w:p w:rsidR="00000000" w:rsidDel="00000000" w:rsidP="00000000" w:rsidRDefault="00000000" w:rsidRPr="00000000" w14:paraId="000000D4">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proyecto Enmask v2.0 define los límites funcionales, técnicos y operativos del sistema, estableciendo qué se incluye y qué queda excluido de la solución.</w:t>
      </w:r>
    </w:p>
    <w:p w:rsidR="00000000" w:rsidDel="00000000" w:rsidP="00000000" w:rsidRDefault="00000000" w:rsidRPr="00000000" w14:paraId="000000D5">
      <w:pPr>
        <w:pStyle w:val="Heading3"/>
        <w:tabs>
          <w:tab w:val="left" w:leader="none" w:pos="440"/>
          <w:tab w:val="right" w:leader="none" w:pos="8494"/>
        </w:tabs>
        <w:spacing w:after="240" w:before="240" w:line="480" w:lineRule="auto"/>
        <w:rPr/>
      </w:pPr>
      <w:bookmarkStart w:colFirst="0" w:colLast="0" w:name="_heading=h.whdv29upqocg" w:id="6"/>
      <w:bookmarkEnd w:id="6"/>
      <w:r w:rsidDel="00000000" w:rsidR="00000000" w:rsidRPr="00000000">
        <w:rPr>
          <w:rtl w:val="0"/>
        </w:rPr>
        <w:t xml:space="preserve">i</w:t>
      </w:r>
      <w:r w:rsidDel="00000000" w:rsidR="00000000" w:rsidRPr="00000000">
        <w:rPr>
          <w:rtl w:val="0"/>
        </w:rPr>
        <w:t xml:space="preserve">ncluido en el Proyecto (Funcionalidades Entregables)</w:t>
      </w:r>
    </w:p>
    <w:p w:rsidR="00000000" w:rsidDel="00000000" w:rsidP="00000000" w:rsidRDefault="00000000" w:rsidRPr="00000000" w14:paraId="000000D6">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921180474"/>
        <w:tag w:val="goog_rdk_2"/>
      </w:sdtPr>
      <w:sdtContent>
        <w:tbl>
          <w:tblPr>
            <w:tblStyle w:val="Table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010"/>
            <w:tblGridChange w:id="0">
              <w:tblGrid>
                <w:gridCol w:w="3480"/>
                <w:gridCol w:w="501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w:t>
                </w:r>
              </w:p>
            </w:tc>
            <w:tc>
              <w:tcPr>
                <w:shd w:fill="76a5af"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Incluidos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Motores de Base de Datos Soportados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(12+), MySQL (8+), SQL Server (2019+), MongoDB (5.0+), Cassandra (4.0+), Redis (6.0+), Neo4j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Estrategias de Enmascaramiento (Nivel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(SHA-256 con sal), Sustitución (Faker), Redacción (caracteres comodín), Nulificación (NULL) y Perturbación (ruido numérico/fechas).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Estrategias de Encriptación (Nivel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simétrico AES-256 (modo CBC/GCM) con llave generada por el sistema y custodiada en Vault.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 programables (ejecución inmediata), procesamiento por lotes (batch) para grandes volúmenes, y reversión controlada (unmask) para administradores.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JWT, cifrado de credenciales de conexión en reposo, Vault para llaves simétricas, y registro de auditoría con trazabilidad de consultas.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de métricas (total de conexiones, reglas, jobs ejecutados), gestor de conexiones, formulario de reglas con selector de Nivel (1 o 2), vista de jobs y resultados, y panel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y 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REST documentada con OpenAPI (Swagger), variables de entorno para configuración (MASTER_KEY, backend de metadatos, TTL de llaves), y compatibilidad con despliegue en contenedores 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usuario (flujo de trabajo), documentación técnica (arquitectura y guía de desarrollo) y guía de administración (gestión de llaves y roles).</w:t>
                </w:r>
              </w:p>
            </w:tc>
          </w:tr>
        </w:tbl>
      </w:sdtContent>
    </w:sdt>
    <w:p w:rsidR="00000000" w:rsidDel="00000000" w:rsidP="00000000" w:rsidRDefault="00000000" w:rsidRPr="00000000" w14:paraId="000000E9">
      <w:pPr>
        <w:pStyle w:val="Heading3"/>
        <w:tabs>
          <w:tab w:val="left" w:leader="none" w:pos="440"/>
          <w:tab w:val="right" w:leader="none" w:pos="8494"/>
        </w:tabs>
        <w:spacing w:after="240" w:before="240" w:line="480" w:lineRule="auto"/>
        <w:rPr/>
      </w:pPr>
      <w:bookmarkStart w:colFirst="0" w:colLast="0" w:name="_heading=h.rjfuv9oc42aw" w:id="7"/>
      <w:bookmarkEnd w:id="7"/>
      <w:r w:rsidDel="00000000" w:rsidR="00000000" w:rsidRPr="00000000">
        <w:rPr>
          <w:rtl w:val="0"/>
        </w:rPr>
        <w:t xml:space="preserve">Excluido del Proyecto (Fuera de Alcance)</w:t>
      </w:r>
    </w:p>
    <w:p w:rsidR="00000000" w:rsidDel="00000000" w:rsidP="00000000" w:rsidRDefault="00000000" w:rsidRPr="00000000" w14:paraId="000000EA">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014246131"/>
        <w:tag w:val="goog_rdk_3"/>
      </w:sdtPr>
      <w:sdtContent>
        <w:tbl>
          <w:tblPr>
            <w:tblStyle w:val="Table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310"/>
            <w:tblGridChange w:id="0">
              <w:tblGrid>
                <w:gridCol w:w="3180"/>
                <w:gridCol w:w="531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w:t>
                </w:r>
              </w:p>
            </w:tc>
            <w:tc>
              <w:tcPr>
                <w:shd w:fill="76a5af"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Excluidos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Motores de BD 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incluirá soporte para Oracle, DB2, Firebird, Couchbase, Elasticsearch, ni otros motores no listados en el 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Enmascaramiento en tiempo real (Dynamic Masking)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solo opera sobre datos en reposo (Static Data Masking). No se implementará enmascaramiento en tiempo de consulta dinámica (proxy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Anonimización estadística (k-anonimidad, l-diversidad)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aplicarán técnicas de privacidad diferencial o anonimización avanzada más allá del enmascaramiento y encriptación 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Migración de esquemas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realiza migraciones estructurales complejas (ej. cambios de tipo de dato, normalización de tablas). Solo añade columnas (Nivel 1) o sobreescribe campos (Nivel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línea de comandos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con el sistema se limitará a la interfaz web y a la API REST. No se desarrollará una herramienta CLI para administración avanzada.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y notificaciones proactivas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implementará un sistema de alertas por correo o SMS ante fallos de jobs o expiración de llaves en el Vault.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sistemas de identidad externos (LDAP, 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autenticación será nativa (registro/login con email y contraseña). No se integrará con Active Directory, Okta ni proveedores OAuth externos en esta versión.</w:t>
                </w:r>
              </w:p>
            </w:tc>
          </w:tr>
        </w:tbl>
      </w:sdtContent>
    </w:sdt>
    <w:p w:rsidR="00000000" w:rsidDel="00000000" w:rsidP="00000000" w:rsidRDefault="00000000" w:rsidRPr="00000000" w14:paraId="000000FB">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Entorno de Despliegue</w:t>
      </w:r>
    </w:p>
    <w:p w:rsidR="00000000" w:rsidDel="00000000" w:rsidP="00000000" w:rsidRDefault="00000000" w:rsidRPr="00000000" w14:paraId="000000FC">
      <w:pPr>
        <w:numPr>
          <w:ilvl w:val="0"/>
          <w:numId w:val="2"/>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Entorno local con Docker Compose (backend + frontend + bases de datos de prueba).</w:t>
      </w:r>
    </w:p>
    <w:p w:rsidR="00000000" w:rsidDel="00000000" w:rsidP="00000000" w:rsidRDefault="00000000" w:rsidRPr="00000000" w14:paraId="000000FD">
      <w:pPr>
        <w:numPr>
          <w:ilvl w:val="0"/>
          <w:numId w:val="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(QA): Servidor en la nube (AWS/Azure) con instancias dedicadas para cada motor.</w:t>
      </w:r>
    </w:p>
    <w:p w:rsidR="00000000" w:rsidDel="00000000" w:rsidP="00000000" w:rsidRDefault="00000000" w:rsidRPr="00000000" w14:paraId="000000FE">
      <w:pPr>
        <w:numPr>
          <w:ilvl w:val="0"/>
          <w:numId w:val="2"/>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Despliegue en contenedores Kubernetes (opcional) con variables de entorno inyectadas desde secretos.</w:t>
      </w:r>
    </w:p>
    <w:p w:rsidR="00000000" w:rsidDel="00000000" w:rsidP="00000000" w:rsidRDefault="00000000" w:rsidRPr="00000000" w14:paraId="000000FF">
      <w:pPr>
        <w:tabs>
          <w:tab w:val="left" w:leader="none" w:pos="440"/>
          <w:tab w:val="right" w:leader="none" w:pos="8494"/>
        </w:tabs>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1"/>
        <w:tabs>
          <w:tab w:val="left" w:leader="none" w:pos="440"/>
          <w:tab w:val="right" w:leader="none" w:pos="8494"/>
        </w:tabs>
        <w:spacing w:line="480" w:lineRule="auto"/>
        <w:rPr/>
      </w:pPr>
      <w:bookmarkStart w:colFirst="0" w:colLast="0" w:name="_heading=h.nkwztb3tunaa" w:id="8"/>
      <w:bookmarkEnd w:id="8"/>
      <w:r w:rsidDel="00000000" w:rsidR="00000000" w:rsidRPr="00000000">
        <w:rPr>
          <w:rtl w:val="0"/>
        </w:rPr>
        <w:t xml:space="preserve">2. Riesgos</w:t>
      </w:r>
    </w:p>
    <w:p w:rsidR="00000000" w:rsidDel="00000000" w:rsidP="00000000" w:rsidRDefault="00000000" w:rsidRPr="00000000" w14:paraId="00000101">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identificación y gestión de riesgos es un componente crítico para el éxito de Enmask v2.0, dado que el sistema maneja datos sensibles (PII) y opera sobre infraestructuras de bases de datos críticas para las organizaciones. Los riesgos se han clasificado en cuatro categorías principales: Técnicos, de Seguridad, Operativos y de Rendimiento. Cada riesgo ha sido evaluado en función de su probabilidad de ocurrencia (Alta, Media, Baja) y su impacto potencial (Alto, Medio, Bajo), estableciendo estrategias de mitigación claras.</w:t>
      </w:r>
    </w:p>
    <w:p w:rsidR="00000000" w:rsidDel="00000000" w:rsidP="00000000" w:rsidRDefault="00000000" w:rsidRPr="00000000" w14:paraId="00000102">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Riesgos Técnicos</w:t>
      </w:r>
    </w:p>
    <w:p w:rsidR="00000000" w:rsidDel="00000000" w:rsidP="00000000" w:rsidRDefault="00000000" w:rsidRPr="00000000" w14:paraId="00000103">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riesgos técnicos están asociados a la complejidad de implementar un sistema que debe traducir órdenes genéricas de enmascaramiento/encriptación a lenguajes nativos de 7 motores de bases de datos completamente diferentes.</w:t>
      </w:r>
    </w:p>
    <w:p w:rsidR="00000000" w:rsidDel="00000000" w:rsidP="00000000" w:rsidRDefault="00000000" w:rsidRPr="00000000" w14:paraId="00000104">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sdt>
      <w:sdtPr>
        <w:lock w:val="contentLocked"/>
        <w:id w:val="457374440"/>
        <w:tag w:val="goog_rdk_4"/>
      </w:sdtPr>
      <w:sdtContent>
        <w:tbl>
          <w:tblPr>
            <w:tblStyle w:val="Table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25"/>
            <w:gridCol w:w="5055"/>
            <w:tblGridChange w:id="0">
              <w:tblGrid>
                <w:gridCol w:w="1080"/>
                <w:gridCol w:w="2325"/>
                <w:gridCol w:w="505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Nro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Técnico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Inconsistencia en funciones nativas entre motores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sintaxis y comportamiento de funciones como SHA256(), AES_ENCRYPT() o ENCRYPTBYKEY varía significativamente entre PostgreSQL, MySQL y SQL Server. Una mala traducción podría generar errores de ejecución o, peor aún, datos corruptos.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de UDF en Cassandra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 no permite funciones definidas por el usuario (UDF) de manera segura en todos los entornos, lo que impide ejecutar hash o sustitución directamente dentro del motor para el Nivel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Incompatibilidad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funciones nativas pueden cambiar entre versiones menores de los motores (ej. MongoDB 5.0 vs 6.0 en $function). La organización podría tener versiones no testeadas.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Manejo de tipos de datos complejos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campos JSON en PostgreSQL/MongoDB o los tipos SET en Redis requieren un tratamiento especial de enmascaramiento que no está contemplado en las estrategias estándar (que trabajan sobre escalares).</w:t>
                </w:r>
              </w:p>
            </w:tc>
          </w:tr>
        </w:tbl>
      </w:sdtContent>
    </w:sdt>
    <w:p w:rsidR="00000000" w:rsidDel="00000000" w:rsidP="00000000" w:rsidRDefault="00000000" w:rsidRPr="00000000" w14:paraId="00000114">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2"/>
        <w:tabs>
          <w:tab w:val="left" w:leader="none" w:pos="440"/>
          <w:tab w:val="right" w:leader="none" w:pos="8494"/>
        </w:tabs>
        <w:spacing w:line="480" w:lineRule="auto"/>
        <w:rPr/>
      </w:pPr>
      <w:bookmarkStart w:colFirst="0" w:colLast="0" w:name="_heading=h.qjact5h7syqa" w:id="9"/>
      <w:bookmarkEnd w:id="9"/>
      <w:r w:rsidDel="00000000" w:rsidR="00000000" w:rsidRPr="00000000">
        <w:rPr>
          <w:rtl w:val="0"/>
        </w:rPr>
        <w:t xml:space="preserve">Riesgos de Seguridad</w:t>
      </w:r>
    </w:p>
    <w:p w:rsidR="00000000" w:rsidDel="00000000" w:rsidP="00000000" w:rsidRDefault="00000000" w:rsidRPr="00000000" w14:paraId="00000116">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Enmask custodia llaves de encriptación simétrica a través de su módulo Vault y permite el acceso a datos sensibles, los riesgos de seguridad son la prioridad máxima y los que requieren la atención más rigurosa.</w:t>
      </w:r>
    </w:p>
    <w:p w:rsidR="00000000" w:rsidDel="00000000" w:rsidP="00000000" w:rsidRDefault="00000000" w:rsidRPr="00000000" w14:paraId="00000117">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riesgo crítico es la exposición de llaves en logs de SQL. Al ejecutar comandos como UPDATE ... SET email = ENCRYPT(email, 'MI_LLAVE'), existe la posibilidad de que la llave quede registrada en los logs lentos (slow logs) de la base de datos si el parámetro de log_query se encuentra activo. Para evitarlo, todas las consultas se sanitizan utilizando parámetros preparados (prepared statements) en lugar de concatenar la llave directamente en el string SQL. Además, se recomienda a los administradores de bases de datos desactivar el log de consultas que contengan datos sensibles o, en su defecto, enmascarar dichos logs.</w:t>
      </w:r>
    </w:p>
    <w:p w:rsidR="00000000" w:rsidDel="00000000" w:rsidP="00000000" w:rsidRDefault="00000000" w:rsidRPr="00000000" w14:paraId="00000119">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no autorizado al Vault es otro riesgo a considerar. Si un atacante logra comprometer la base de datos de metadatos donde se almacenan los Vaults cifrados, podría intentar ataques de fuerza bruta contra la MASTER_KEY. Sin embargo, esta mitigación es inherente a la fortaleza criptográfica: el Vault almacena las llaves simétricas cifradas con MASTER_KEY utilizando AES-256, y la MASTER_KEY tiene una entropía de 256 bits, lo que hace inviable un ataque de fuerza bruta. Complementariamente, se implementa un rate limiting en los intentos de desenmascaramiento a través del endpoint /unmask, limitando el número de solicitudes fallidas.</w:t>
      </w:r>
    </w:p>
    <w:p w:rsidR="00000000" w:rsidDel="00000000" w:rsidP="00000000" w:rsidRDefault="00000000" w:rsidRPr="00000000" w14:paraId="0000011B">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aunque con menor probabilidad, se ha identificado el riesgo de inyección SQL o NoSQL. Un usuario malintencionado podría intentar inyectar comandos a través de los formularios de reglas, por ejemplo, en el nombre de la columna, para ejecutar código arbitrario en la base de datos destino. La mitigación consiste en el uso de parámetros preparados a través de SQLAlchemy para los motores relacionales, y sanitización de inputs para MongoDB y Cassandra. Además, los nombres de tablas y columnas se validan rigurosamente contra una lista blanca de caracteres permitidos, restringiendo el alfabeto a [a-zA-Z0-9_] y rechazando cualquier otro carácter sospechoso.</w:t>
      </w:r>
    </w:p>
    <w:p w:rsidR="00000000" w:rsidDel="00000000" w:rsidP="00000000" w:rsidRDefault="00000000" w:rsidRPr="00000000" w14:paraId="0000011D">
      <w:pPr>
        <w:pStyle w:val="Heading2"/>
        <w:tabs>
          <w:tab w:val="left" w:leader="none" w:pos="440"/>
          <w:tab w:val="right" w:leader="none" w:pos="8494"/>
        </w:tabs>
        <w:spacing w:line="480" w:lineRule="auto"/>
        <w:rPr/>
      </w:pPr>
      <w:bookmarkStart w:colFirst="0" w:colLast="0" w:name="_heading=h.4ovosejnrxgz" w:id="10"/>
      <w:bookmarkEnd w:id="10"/>
      <w:r w:rsidDel="00000000" w:rsidR="00000000" w:rsidRPr="00000000">
        <w:rPr>
          <w:rtl w:val="0"/>
        </w:rPr>
        <w:t xml:space="preserve">Riesgos Operativos</w:t>
      </w:r>
    </w:p>
    <w:p w:rsidR="00000000" w:rsidDel="00000000" w:rsidP="00000000" w:rsidRDefault="00000000" w:rsidRPr="00000000" w14:paraId="0000011E">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riesgos operativos están relacionados con la gestión diaria del sistema, la adopción por parte de los usuarios y la dependencia de infraestructura externa. Son riesgos que, si bien no comprometen la seguridad intrínseca del sistema, pueden afectar su adopción y utilidad práctica.</w:t>
      </w:r>
    </w:p>
    <w:p w:rsidR="00000000" w:rsidDel="00000000" w:rsidP="00000000" w:rsidRDefault="00000000" w:rsidRPr="00000000" w14:paraId="0000011F">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riesgo operativo más significativo es la curva de aprendizaje pronunciada. Los administradores de bases de datos y los equipos de desarrollo no están familiarizados con conceptos como columnas GENERATED ALWAYS en PostgreSQL, la creación de vistas en MongoDB o la gestión de un Vault de llaves simétricas. Esta falta de conocimiento podría llevar a errores en la configuración de reglas, resultando en un enmascaramiento inadecuado o en la pérdida accidental de datos. Para mitigarlo, se ha desarrollado documentación interactiva directamente en el frontend, incluyendo tooltips explicativos y tutoriales paso a paso. Además, se incluye un modo "Sandbox" que permite a los usuarios practicar con una base de datos de prueba (SQLite en memoria) sin riesgos para los entornos productivos.</w:t>
      </w:r>
    </w:p>
    <w:p w:rsidR="00000000" w:rsidDel="00000000" w:rsidP="00000000" w:rsidRDefault="00000000" w:rsidRPr="00000000" w14:paraId="00000121">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fallo en la rotación de llaves es otro riesgo operativo crítico. Durante el proceso de rotación de llaves en el Nivel 2, un corte de energía o una caída de la red podría dejar la base de datos en un estado inconsistente, con una mezcla de datos cifrados con llaves viejas y nuevas, haciendo irrecuperable parte de la información. La mitigación consiste en ejecutar el proceso de rotación dentro de una transacción SQL en los motores que lo soportan. En el caso de NoSQL, como MongoDB, se utiliza una estrategia de doble escritura: se cifran los datos con la nueva llave, se actualiza el registro y, solo al confirmar la operación, se elimina la llave vieja del Vault. Adicionalmente, se mantiene una llave de respaldo por 24 horas para permitir una recuperación manual en caso de fallo.</w:t>
      </w:r>
    </w:p>
    <w:p w:rsidR="00000000" w:rsidDel="00000000" w:rsidP="00000000" w:rsidRDefault="00000000" w:rsidRPr="00000000" w14:paraId="00000123">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dependencia de la conectividad también representa un riesgo operativo. Si la base de datos destino no está accesible durante la ejecución de un job, ya sea por problemas de red o por mantenimiento programado, el sistema podría fallar sin ofrecer un mensaje claro al usuario. Para abordarlo, se ha implementado un timeout configurable a través de la variable DB_QUERY_TIMEOUT y un sistema de reintentos exponenciales que intenta la operación hasta tres veces antes de marcar el job como fallido. El estado del job se registra con detalles específicos del error para facilitar su depuración.</w:t>
      </w:r>
    </w:p>
    <w:p w:rsidR="00000000" w:rsidDel="00000000" w:rsidP="00000000" w:rsidRDefault="00000000" w:rsidRPr="00000000" w14:paraId="00000125">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sobrecarga del repositorio de metadatos es un riesgo a largo plazo. Si el backend de metadatos, ya sea PostgreSQL o MongoDB, se llena de registros de auditoría y Vaults históricos sin una política de limpieza, el rendimiento del sistema podría degradarse progresivamente. La mitigación consiste en implementar una política de retención configurable: los logs de auditoría se purgan automáticamente después de 90 días, y los Vaults expirados (cuyo TTL ha sido superado) se eliminan automáticamente mediante un job programado en segundo plano.</w:t>
      </w:r>
    </w:p>
    <w:p w:rsidR="00000000" w:rsidDel="00000000" w:rsidP="00000000" w:rsidRDefault="00000000" w:rsidRPr="00000000" w14:paraId="00000127">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Style w:val="Heading2"/>
        <w:tabs>
          <w:tab w:val="left" w:leader="none" w:pos="440"/>
          <w:tab w:val="right" w:leader="none" w:pos="8494"/>
        </w:tabs>
        <w:spacing w:line="480" w:lineRule="auto"/>
        <w:rPr/>
      </w:pPr>
      <w:bookmarkStart w:colFirst="0" w:colLast="0" w:name="_heading=h.r143iuc5evyj" w:id="11"/>
      <w:bookmarkEnd w:id="11"/>
      <w:r w:rsidDel="00000000" w:rsidR="00000000" w:rsidRPr="00000000">
        <w:rPr>
          <w:rtl w:val="0"/>
        </w:rPr>
        <w:t xml:space="preserve">Riesgos de Rendimiento</w:t>
      </w:r>
    </w:p>
    <w:p w:rsidR="00000000" w:rsidDel="00000000" w:rsidP="00000000" w:rsidRDefault="00000000" w:rsidRPr="00000000" w14:paraId="00000129">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riesgos afectan la velocidad de ejecución de los jobs y la capacidad del sistema para manejar grandes volúmenes de datos de manera eficiente. Son especialmente relevantes en entornos productivos con bases de datos de gran tamaño.</w:t>
      </w:r>
    </w:p>
    <w:p w:rsidR="00000000" w:rsidDel="00000000" w:rsidP="00000000" w:rsidRDefault="00000000" w:rsidRPr="00000000" w14:paraId="0000012A">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riesgo más crítico en esta categoría es el bloqueo de tablas en SQL Server y MySQL. El uso de comandos como ALTER TABLE ADD COLUMN (para el Nivel 1) o UPDATE masivo (para el Nivel 2) puede bloquear la tabla por completo, afectando a otros procesos que intenten leer o escribir simultáneamente. Para mitigarlo, se utilizan estrategias específicas según el motor: en MySQL, se emplea ALTER TABLE ... ALGORITHM=INPLACE, LOCK=NONE cuando es posible; en SQL Server, se usa la cláusula WITH (ONLINE = ON). Para las operaciones de UPDATE masivo en el Nivel 2, los comandos se ejecutan en lotes de 10,000 registros con pausas de 100 milisegundos entre cada lote, evitando así saturar el motor y permitiendo que otras operaciones concurrentes se ejecuten sin interrupciones.</w:t>
      </w:r>
    </w:p>
    <w:p w:rsidR="00000000" w:rsidDel="00000000" w:rsidP="00000000" w:rsidRDefault="00000000" w:rsidRPr="00000000" w14:paraId="0000012C">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degradación en MongoDB con el uso de $function es otro riesgo de rendimiento significativo. La ejecución de JavaScript nativo dentro de MongoDB no es escalable para colecciones que superen el millón de documentos, ya que el motor ejecuta el código en un solo hilo por shard. Para abordar esto, se recomienda a los usuarios optar por la creación de Vistas en lugar de actualizar físicamente los documentos para el Nivel 1. La vista aplica el enmascaramiento únicamente en el momento de la consulta, distribuyendo la carga de cómputo a lo largo del tiempo. Para el Nivel 2, que requiere encriptación física, se utiliza el driver de Python con CSFLE simulado, evitando por completo el uso de JavaScript dentro del motor.</w:t>
      </w:r>
    </w:p>
    <w:p w:rsidR="00000000" w:rsidDel="00000000" w:rsidP="00000000" w:rsidRDefault="00000000" w:rsidRPr="00000000" w14:paraId="0000012E">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Redis, el uso ineficiente del comando KEYS * representa un riesgo. Si el script Lua para el Nivel 1 utiliza KEYS * para iterar sobre todos los documentos, esto puede bloquear el servidor Redis en entornos productivos, ya que es una operación O(N) que recorre toda la base de datos. La mitigación consiste en reemplazar KEYS * por el comando SCAN dentro del script Lua, o bien ejecutar la operación desde Python utilizando scan_iter, que es no bloqueante y permite recorrer la base de datos de manera segura y paginada.</w:t>
      </w:r>
    </w:p>
    <w:p w:rsidR="00000000" w:rsidDel="00000000" w:rsidP="00000000" w:rsidRDefault="00000000" w:rsidRPr="00000000" w14:paraId="00000130">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en Cassandra, los cuellos de botella al actualizar particiones calientes son un riesgo latente. Si el campo a enmascarar (por ejemplo, email) forma parte de la clave primaria o de la clave de clustering, un UPDATE masivo puede generar una sobrecarga significativa en la partición correspondiente. Para evitarlo, el sistema identifica las claves primarias antes de ejecutar el job y, si el campo a modificar es parte de ellas, se advierte al usuario y se recomienda crear una columna nueva (Nivel 1) en lugar de sobrescribir la existente. Adicionalmente, se utiliza la cláusula USING TIMESTAMP para evitar conflictos de consistencia y garantizar que la operación sea idempotente.</w:t>
      </w:r>
    </w:p>
    <w:p w:rsidR="00000000" w:rsidDel="00000000" w:rsidP="00000000" w:rsidRDefault="00000000" w:rsidRPr="00000000" w14:paraId="00000132">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uvqv2gcrrfsu" w:id="12"/>
      <w:bookmarkEnd w:id="12"/>
      <w:r w:rsidDel="00000000" w:rsidR="00000000" w:rsidRPr="00000000">
        <w:rPr>
          <w:rFonts w:ascii="Times New Roman" w:cs="Times New Roman" w:eastAsia="Times New Roman" w:hAnsi="Times New Roman"/>
          <w:rtl w:val="0"/>
        </w:rPr>
        <w:t xml:space="preserve">Evaluación General de Riesgos</w:t>
      </w:r>
    </w:p>
    <w:p w:rsidR="00000000" w:rsidDel="00000000" w:rsidP="00000000" w:rsidRDefault="00000000" w:rsidRPr="00000000" w14:paraId="00000134">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de identificar y analizar los trece riesgos distribuidos en las cuatro categorías, se realiza una evaluación global para determinar la viabilidad del proyecto. Los riesgos técnicos, aunque cuatro en total, presentan dos de alto impacto (la inconsistencia entre motores y el manejo de datos complejos), pero ambos se consideran controlados gracias a la capa de abstracción y las pruebas automatizadas que minimizan significativamente la probabilidad de errores de traducción. En el ámbito de la seguridad, de los cuatro riesgos identificados, tres son de alto impacto (exposición de la MASTER_KEY, exposición en logs y acceso no autorizado al Vault). Sin embargo, las medidas de cifrado robusto, sanitización de inputs y uso de secretos de infraestructura hacen que el nivel de riesgo sea aceptable y manejable.</w:t>
      </w:r>
    </w:p>
    <w:p w:rsidR="00000000" w:rsidDel="00000000" w:rsidP="00000000" w:rsidRDefault="00000000" w:rsidRPr="00000000" w14:paraId="00000136">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riesgos operativos, aunque cuatro, solo uno se considera crítico (el fallo en la rotación de llaves), y cuenta con estrategias de respaldo como transacciones y backups temporales. La curva de aprendizaje se mitiga eficazmente con documentación y un entorno sandbox. Finalmente, los riesgos de rendimiento, con tres de alto impacto (bloqueo de tablas, degradación en MongoDB y uso de KEYS en Redis), se consideran gestionables gracias a las técnicas de batching, uso de vistas en MongoDB y el empleo de SCAN en Redis.</w:t>
      </w:r>
    </w:p>
    <w:p w:rsidR="00000000" w:rsidDel="00000000" w:rsidP="00000000" w:rsidRDefault="00000000" w:rsidRPr="00000000" w14:paraId="00000138">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nivel de riesgo general del proyecto Enmask v2.0 se clasifica como MODERADO - CONTROLADO. Si bien existen riesgos de alto impacto, especialmente los relacionados con la seguridad de las llaves y el rendimiento en motores NoSQL, todos cuentan con estrategias de mitigación concretas, probadas y viables. Como acciones recomendadas antes del lanzamiento a producción, se sugiere realizar una prueba de penetración externa para validar la robustez del Vault y la sanitización de inputs, ejecutar pruebas de carga con volúmenes de datos reales para cada uno de los siete motores afinando los parámetros de batch y timeout, y establecer un plan de contingencia para la recuperación de llaves en caso de desastre, guardando una copia física de la MASTER_KEY en un lugar seguro, como una caja fuerte o un cofre de seguridad institucional.</w:t>
      </w:r>
    </w:p>
    <w:p w:rsidR="00000000" w:rsidDel="00000000" w:rsidP="00000000" w:rsidRDefault="00000000" w:rsidRPr="00000000" w14:paraId="0000013A">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1"/>
        <w:tabs>
          <w:tab w:val="left" w:leader="none" w:pos="440"/>
          <w:tab w:val="right" w:leader="none" w:pos="8494"/>
        </w:tabs>
        <w:spacing w:line="480" w:lineRule="auto"/>
        <w:rPr>
          <w:rFonts w:ascii="Times New Roman" w:cs="Times New Roman" w:eastAsia="Times New Roman" w:hAnsi="Times New Roman"/>
        </w:rPr>
      </w:pPr>
      <w:bookmarkStart w:colFirst="0" w:colLast="0" w:name="_heading=h.lnh5jdg83sof" w:id="13"/>
      <w:bookmarkEnd w:id="13"/>
      <w:r w:rsidDel="00000000" w:rsidR="00000000" w:rsidRPr="00000000">
        <w:rPr>
          <w:rFonts w:ascii="Times New Roman" w:cs="Times New Roman" w:eastAsia="Times New Roman" w:hAnsi="Times New Roman"/>
          <w:rtl w:val="0"/>
        </w:rPr>
        <w:t xml:space="preserve">3. Análisis de la Situación Actual</w:t>
      </w:r>
    </w:p>
    <w:p w:rsidR="00000000" w:rsidDel="00000000" w:rsidP="00000000" w:rsidRDefault="00000000" w:rsidRPr="00000000" w14:paraId="0000013C">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comprender plenamente la necesidad y el valor de Enmask v2.0, es imprescindible realizar un diagnóstico profundo del estado actual de las prácticas de protección de datos en entornos no productivos dentro de las organizaciones. Este análisis se ha construido a partir de observaciones en la industria, estudios de caso y las experiencias documentadas de equipos de desarrollo, administración de bases de datos y seguridad de la información. El escenario actual se caracteriza por procesos manuales, falta de estandarización, riesgos de seguridad latentes y costos operativos elevados que, en conjunto, representan una amenaza significativa para la integridad y confidencialidad de la información sensible.</w:t>
      </w:r>
    </w:p>
    <w:p w:rsidR="00000000" w:rsidDel="00000000" w:rsidP="00000000" w:rsidRDefault="00000000" w:rsidRPr="00000000" w14:paraId="0000013E">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pn207iakcmff" w:id="14"/>
      <w:bookmarkEnd w:id="14"/>
      <w:r w:rsidDel="00000000" w:rsidR="00000000" w:rsidRPr="00000000">
        <w:rPr>
          <w:rFonts w:ascii="Times New Roman" w:cs="Times New Roman" w:eastAsia="Times New Roman" w:hAnsi="Times New Roman"/>
          <w:rtl w:val="0"/>
        </w:rPr>
        <w:t xml:space="preserve">3.1. Procesos Manuales y Fragmentados de Extracción de Datos</w:t>
      </w:r>
    </w:p>
    <w:p w:rsidR="00000000" w:rsidDel="00000000" w:rsidP="00000000" w:rsidRDefault="00000000" w:rsidRPr="00000000" w14:paraId="00000140">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gran mayoría de las organizaciones, el flujo de trabajo para obtener una copia de base de datos productiva destinada a entornos de desarrollo, pruebas o análisis comienza con una solicitud formal al equipo de administración de bases de datos. Un DBA, utilizando herramientas nativas como pg_dump para PostgreSQL, mysqldump para MySQL, mongodump para MongoDB o expdp para bases de datos Oracle, genera un volcado completo de la base de datos o de un subconjunto de tablas. Este proceso, además de ser intensivo en recursos del servidor productivo, genera archivos de gran tamaño que deben ser transferidos a través de la red hacia los entornos de destino.</w:t>
      </w:r>
    </w:p>
    <w:p w:rsidR="00000000" w:rsidDel="00000000" w:rsidP="00000000" w:rsidRDefault="00000000" w:rsidRPr="00000000" w14:paraId="00000141">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que la copia ha sido restaurada en el entorno no productivo, el equipo de desarrollo o el responsable de calidad se enfrenta a un segundo desafío: la ofuscación de los datos sensibles. Este paso, en el mejor de los casos, se realiza mediante scripts personalizados escritos en Python, Bash o incluso Java, que recorren las tablas y reemplazan campos como correos electrónicos, números de teléfono, direcciones o documentos de identidad por valores ficticios o estáticos. Sin embargo, estos scripts suelen ser frágiles, dependen de la estructura específica de la base de datos en ese momento y, con frecuencia, se rompen cuando se añaden nuevas columnas o se modifican los esquemas. La consecuencia es que los equipos de desarrollo invierten una cantidad desproporcionada de tiempo manteniendo scripts de ofuscación en lugar de dedicarse a sus tareas principales.</w:t>
      </w:r>
    </w:p>
    <w:p w:rsidR="00000000" w:rsidDel="00000000" w:rsidP="00000000" w:rsidRDefault="00000000" w:rsidRPr="00000000" w14:paraId="00000143">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qqwxgv9ccz9z" w:id="15"/>
      <w:bookmarkEnd w:id="15"/>
      <w:r w:rsidDel="00000000" w:rsidR="00000000" w:rsidRPr="00000000">
        <w:rPr>
          <w:rFonts w:ascii="Times New Roman" w:cs="Times New Roman" w:eastAsia="Times New Roman" w:hAnsi="Times New Roman"/>
          <w:rtl w:val="0"/>
        </w:rPr>
        <w:t xml:space="preserve">3.2. Heterogeneidad de Motores y Ausencia de una Solución Unificada</w:t>
      </w:r>
    </w:p>
    <w:p w:rsidR="00000000" w:rsidDel="00000000" w:rsidP="00000000" w:rsidRDefault="00000000" w:rsidRPr="00000000" w14:paraId="00000145">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aspecto crítico que agrava la situación actual es la creciente heterogeneidad de los motores de bases de datos dentro de una misma organización. No es raro encontrar que el sistema transaccional principal funcione sobre PostgreSQL, que los logs de auditoría y eventos se almacenen en MongoDB, que las sesiones de usuario y las cachés residan en Redis, y que los datos de relaciones complejas se modelen en Neo4j. Esta diversidad tecnológica, que responde a necesidades legítimas de cada área, se convierte en un problema cuando se trata de proteger los datos en todas ellas.</w:t>
      </w:r>
    </w:p>
    <w:p w:rsidR="00000000" w:rsidDel="00000000" w:rsidP="00000000" w:rsidRDefault="00000000" w:rsidRPr="00000000" w14:paraId="00000147">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de desarrollo ha desarrollado sus propias herramientas y scripts para cada motor. Por ejemplo, el equipo que trabaja con PostgreSQL utiliza funciones PL/pgSQL para generar hashes, mientras que el equipo de MongoDB ha creado un script en Node.js que itera sobre la colección y actualiza los campos uno por uno. El equipo de Redis, por su parte, podría tener un script Lua que se ejecuta dentro del servidor, pero que no está documentado ni versionado adecuadamente. Esta fragmentación no solo duplica esfuerzos y genera ineficiencias, sino que también introduce inconsistencias en la calidad del enmascaramiento. Un correo electrónico puede ser enmascarado con un hash en la base de datos relacional, pero con una sustitución por un valor fijo en el almacén de documentos, lo que rompe las relaciones lógicas entre sistemas y dificulta las pruebas de integración.</w:t>
      </w:r>
    </w:p>
    <w:p w:rsidR="00000000" w:rsidDel="00000000" w:rsidP="00000000" w:rsidRDefault="00000000" w:rsidRPr="00000000" w14:paraId="00000149">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y4xx986r7pnf" w:id="16"/>
      <w:bookmarkEnd w:id="16"/>
      <w:r w:rsidDel="00000000" w:rsidR="00000000" w:rsidRPr="00000000">
        <w:rPr>
          <w:rFonts w:ascii="Times New Roman" w:cs="Times New Roman" w:eastAsia="Times New Roman" w:hAnsi="Times New Roman"/>
          <w:rtl w:val="0"/>
        </w:rPr>
        <w:t xml:space="preserve">3.3. Problemas de Rendimiento y Cuellos de Botella</w:t>
      </w:r>
    </w:p>
    <w:p w:rsidR="00000000" w:rsidDel="00000000" w:rsidP="00000000" w:rsidRDefault="00000000" w:rsidRPr="00000000" w14:paraId="0000014B">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metodología tradicional que procesa los datos en la capa de aplicación, es decir, extrayendo los registros de la base de datos, transformándolos en memoria y volviéndolos a escribir, presenta un grave problema de rendimiento. Para bases de datos que contienen cientos de gigabytes o varios terabytes de información, este enfoque es inviable. El movimiento de datos a través de la red, el procesamiento en Python y la posterior re-escritura genera tiempos de ejecución que pueden medirse en horas o incluso días. En el contexto de entregas ágiles, donde los equipos de desarrollo necesitan copias frescas de datos de manera frecuente, estos largos tiempos de procesamiento se convierten en un cuello de botella que retrasa todo el ciclo de vida del desarrollo de software.</w:t>
      </w:r>
    </w:p>
    <w:p w:rsidR="00000000" w:rsidDel="00000000" w:rsidP="00000000" w:rsidRDefault="00000000" w:rsidRPr="00000000" w14:paraId="0000014D">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durante el proceso de transformación, los servidores de aplicaciones deben manejar grandes volúmenes de datos en memoria, lo que puede provocar desbordamientos de memoria, degradación del rendimiento e incluso caídas del sistema. Para mitigar esto, los equipos suelen verse forzados a procesar los datos en lotes pequeños, lo que extiende aún más el tiempo total de ejecución y aumenta la complejidad del código.</w:t>
      </w:r>
    </w:p>
    <w:p w:rsidR="00000000" w:rsidDel="00000000" w:rsidP="00000000" w:rsidRDefault="00000000" w:rsidRPr="00000000" w14:paraId="0000014F">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qj4khk5shftk" w:id="17"/>
      <w:bookmarkEnd w:id="17"/>
      <w:r w:rsidDel="00000000" w:rsidR="00000000" w:rsidRPr="00000000">
        <w:rPr>
          <w:rFonts w:ascii="Times New Roman" w:cs="Times New Roman" w:eastAsia="Times New Roman" w:hAnsi="Times New Roman"/>
          <w:rtl w:val="0"/>
        </w:rPr>
        <w:t xml:space="preserve">3.4. Riesgos de Seguridad y Exposición de Datos Sensibles</w:t>
      </w:r>
    </w:p>
    <w:p w:rsidR="00000000" w:rsidDel="00000000" w:rsidP="00000000" w:rsidRDefault="00000000" w:rsidRPr="00000000" w14:paraId="00000151">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la ineficiencia operativa, la situación actual presenta riesgos de seguridad alarmantes. La práctica de mantener scripts de ofuscación caseros, a menudo sin una revisión de seguridad adecuada, deja expuestos datos reales en múltiples frentes. En primer lugar, los volcados de producción (dumps) suelen transferirse a través de redes internas sin cifrado, lo que los hace vulnerables a intercepciones. En segundo lugar, los scripts de ofuscación a menudo omiten campos anidados en estructuras JSON, campos en columnas de tipo text que contienen datos estructurados o, peor aún, claves foráneas que mantienen relaciones entre tablas. Como resultado, las copias de desarrollo terminan conteniendo datos reales de clientes, como correos electrónicos o números de identificación, en lugares que los desarrolladores no esperaban, como en el campo de "notas" de una tabla de pedidos.</w:t>
      </w:r>
    </w:p>
    <w:p w:rsidR="00000000" w:rsidDel="00000000" w:rsidP="00000000" w:rsidRDefault="00000000" w:rsidRPr="00000000" w14:paraId="00000153">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exposición se intensifica cuando se comparten estas copias con equipos externos, como consultores o empresas de subcontratación, quienes no tienen la misma cultura de seguridad que la organización propietaria. En estos casos, la falta de trazabilidad y control sobre quién accede a qué dato hace que sea prácticamente imposible rastrear una posible filtración de información.</w:t>
      </w:r>
    </w:p>
    <w:p w:rsidR="00000000" w:rsidDel="00000000" w:rsidP="00000000" w:rsidRDefault="00000000" w:rsidRPr="00000000" w14:paraId="00000155">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3d17pnwukmcz" w:id="18"/>
      <w:bookmarkEnd w:id="18"/>
      <w:r w:rsidDel="00000000" w:rsidR="00000000" w:rsidRPr="00000000">
        <w:rPr>
          <w:rFonts w:ascii="Times New Roman" w:cs="Times New Roman" w:eastAsia="Times New Roman" w:hAnsi="Times New Roman"/>
          <w:rtl w:val="0"/>
        </w:rPr>
        <w:t xml:space="preserve">3.5. Ausencia de Auditoría y Trazabilidad</w:t>
      </w:r>
    </w:p>
    <w:p w:rsidR="00000000" w:rsidDel="00000000" w:rsidP="00000000" w:rsidRDefault="00000000" w:rsidRPr="00000000" w14:paraId="00000157">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vacío crítico en el escenario actual es la total falta de auditoría sobre los datos en los entornos no productivos. En una base de datos productiva, las organizaciones suelen tener controles de acceso granulares y registros de auditoría que permiten saber quién consultó qué tabla y en qué momento. Sin embargo, una vez que los datos son copiados a un entorno de desarrollo, estos controles desaparecen. Cualquier desarrollador o ingeniero de pruebas puede ejecutar consultas SELECT sobre la tabla clientes y ver los correos electrónicos y direcciones reales sin dejar rastro alguno.</w:t>
      </w:r>
    </w:p>
    <w:p w:rsidR="00000000" w:rsidDel="00000000" w:rsidP="00000000" w:rsidRDefault="00000000" w:rsidRPr="00000000" w14:paraId="00000159">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falta de trazabilidad no solo es una mala práctica de seguridad, sino que viola directamente los requisitos de normativas como el Reglamento General de Protección de Datos (GDPR) en Europa, la Ley de Privacidad del Consumidor de California (CCPA) en Estados Unidos y la Ley de Protección de Datos Personales en Perú y otros países de América Latina. El artículo 32 del GDPR, por ejemplo, exige que las organizaciones implementen medidas técnicas y organizativas apropiadas para garantizar un nivel de seguridad adecuado al riesgo, incluyendo la seudonimización y el cifrado de los datos personales. Las prácticas actuales, basadas en scripts ad-hoc y copias sin protección, difícilmente cumplen con este estándar, exponiendo a las organizaciones a multas millonarias y a daños reputacionales.</w:t>
      </w:r>
    </w:p>
    <w:p w:rsidR="00000000" w:rsidDel="00000000" w:rsidP="00000000" w:rsidRDefault="00000000" w:rsidRPr="00000000" w14:paraId="0000015B">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33egmduebfjr" w:id="19"/>
      <w:bookmarkEnd w:id="19"/>
      <w:r w:rsidDel="00000000" w:rsidR="00000000" w:rsidRPr="00000000">
        <w:rPr>
          <w:rFonts w:ascii="Times New Roman" w:cs="Times New Roman" w:eastAsia="Times New Roman" w:hAnsi="Times New Roman"/>
          <w:rtl w:val="0"/>
        </w:rPr>
        <w:t xml:space="preserve">3.6. Elevados Costos Operativos y de Mantenimiento</w:t>
      </w:r>
    </w:p>
    <w:p w:rsidR="00000000" w:rsidDel="00000000" w:rsidP="00000000" w:rsidRDefault="00000000" w:rsidRPr="00000000" w14:paraId="0000015D">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financiera, el enfoque actual esconde costos operativos significativos que no siempre son evidentes para la gerencia. El tiempo de los DBAs dedicado a generar y transferir copias de producción podría ser redirigido a actividades de mayor valor, como la optimización de consultas o la planificación de la capacidad. El tiempo de los desarrolladores dedicado a mantener y depurar scripts de ofuscación, que suelen ser código no documentado y que no forma parte del ciclo de vida formal del software, representa un costo de oportunidad considerable. Además, el almacenamiento de múltiples copias de la base de datos en diferentes entornos (desarrollo, pruebas, calidad, capacitación) implica un costo de infraestructura que, en el caso de grandes volúmenes de datos, puede llegar a ser prohibitivo. Cada copia requiere espacio en disco, respaldos y recursos de cómputo, multiplicando los gastos operativos sin un valor agregado tangible.</w:t>
        <w:br w:type="textWrapping"/>
        <w:br w:type="textWrapping"/>
      </w:r>
    </w:p>
    <w:p w:rsidR="00000000" w:rsidDel="00000000" w:rsidP="00000000" w:rsidRDefault="00000000" w:rsidRPr="00000000" w14:paraId="0000015F">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qteddkn0xuuu" w:id="20"/>
      <w:bookmarkEnd w:id="20"/>
      <w:r w:rsidDel="00000000" w:rsidR="00000000" w:rsidRPr="00000000">
        <w:rPr>
          <w:rFonts w:ascii="Times New Roman" w:cs="Times New Roman" w:eastAsia="Times New Roman" w:hAnsi="Times New Roman"/>
          <w:rtl w:val="0"/>
        </w:rPr>
        <w:t xml:space="preserve">3.7. Análisis de Brechas y Necesidades No Cubiertas</w:t>
      </w:r>
    </w:p>
    <w:p w:rsidR="00000000" w:rsidDel="00000000" w:rsidP="00000000" w:rsidRDefault="00000000" w:rsidRPr="00000000" w14:paraId="00000160">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este diagnóstico, se pueden identificar las siguientes brechas críticas que Enmask v2.0 está diseñado para cerrar:</w:t>
      </w:r>
    </w:p>
    <w:p w:rsidR="00000000" w:rsidDel="00000000" w:rsidP="00000000" w:rsidRDefault="00000000" w:rsidRPr="00000000" w14:paraId="00000162">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numPr>
          <w:ilvl w:val="0"/>
          <w:numId w:val="10"/>
        </w:numPr>
        <w:tabs>
          <w:tab w:val="left" w:leader="none" w:pos="440"/>
          <w:tab w:val="right" w:leader="none" w:pos="8494"/>
        </w:tabs>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de procesamiento: No existe una herramienta que delegue el enmascaramiento al motor de la base de datos, evitando la transferencia masiva de datos. El procesamiento siempre ocurre en la capa de aplicación.</w:t>
      </w:r>
    </w:p>
    <w:p w:rsidR="00000000" w:rsidDel="00000000" w:rsidP="00000000" w:rsidRDefault="00000000" w:rsidRPr="00000000" w14:paraId="00000164">
      <w:pPr>
        <w:numPr>
          <w:ilvl w:val="0"/>
          <w:numId w:val="10"/>
        </w:numPr>
        <w:tabs>
          <w:tab w:val="left" w:leader="none" w:pos="440"/>
          <w:tab w:val="right" w:leader="none" w:pos="8494"/>
        </w:tabs>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de cobertura: No existe una solución unificada que pueda operar sobre PostgreSQL, MySQL, SQL Server, MongoDB, Cassandra, Redis y Neo4j con una misma interfaz y flujo de trabajo.</w:t>
      </w:r>
    </w:p>
    <w:p w:rsidR="00000000" w:rsidDel="00000000" w:rsidP="00000000" w:rsidRDefault="00000000" w:rsidRPr="00000000" w14:paraId="00000165">
      <w:pPr>
        <w:numPr>
          <w:ilvl w:val="0"/>
          <w:numId w:val="10"/>
        </w:numPr>
        <w:tabs>
          <w:tab w:val="left" w:leader="none" w:pos="440"/>
          <w:tab w:val="right" w:leader="none" w:pos="8494"/>
        </w:tabs>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de integridad: Los scripts actuales no garantizan la consistencia referencial ni el tratamiento de datos anidados, lo que genera copias funcionalmente rotas para los equipos de desarrollo.</w:t>
      </w:r>
    </w:p>
    <w:p w:rsidR="00000000" w:rsidDel="00000000" w:rsidP="00000000" w:rsidRDefault="00000000" w:rsidRPr="00000000" w14:paraId="00000166">
      <w:pPr>
        <w:numPr>
          <w:ilvl w:val="0"/>
          <w:numId w:val="10"/>
        </w:numPr>
        <w:tabs>
          <w:tab w:val="left" w:leader="none" w:pos="440"/>
          <w:tab w:val="right" w:leader="none" w:pos="8494"/>
        </w:tabs>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de seguridad: La ausencia de un Vault centralizado para la gestión de llaves de encriptación y la falta de auditoría sobre los accesos representan una vulnerabilidad crítica.</w:t>
      </w:r>
    </w:p>
    <w:p w:rsidR="00000000" w:rsidDel="00000000" w:rsidP="00000000" w:rsidRDefault="00000000" w:rsidRPr="00000000" w14:paraId="00000167">
      <w:pPr>
        <w:numPr>
          <w:ilvl w:val="0"/>
          <w:numId w:val="10"/>
        </w:numPr>
        <w:tabs>
          <w:tab w:val="left" w:leader="none" w:pos="440"/>
          <w:tab w:val="right" w:leader="none" w:pos="8494"/>
        </w:tabs>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de cumplimiento: Las prácticas actuales no satisfacen los requisitos de las normativas de protección de datos, poniendo a la organización en riesgo legal.</w:t>
      </w:r>
    </w:p>
    <w:p w:rsidR="00000000" w:rsidDel="00000000" w:rsidP="00000000" w:rsidRDefault="00000000" w:rsidRPr="00000000" w14:paraId="00000168">
      <w:pPr>
        <w:pStyle w:val="Heading1"/>
        <w:tabs>
          <w:tab w:val="left" w:leader="none" w:pos="440"/>
          <w:tab w:val="right" w:leader="none" w:pos="8494"/>
        </w:tabs>
        <w:spacing w:line="480" w:lineRule="auto"/>
        <w:rPr/>
      </w:pPr>
      <w:bookmarkStart w:colFirst="0" w:colLast="0" w:name="_heading=h.giainyes7tw2" w:id="21"/>
      <w:bookmarkEnd w:id="21"/>
      <w:r w:rsidDel="00000000" w:rsidR="00000000" w:rsidRPr="00000000">
        <w:rPr>
          <w:rtl w:val="0"/>
        </w:rPr>
        <w:t xml:space="preserve">Factibilidad Técnica</w:t>
      </w:r>
    </w:p>
    <w:p w:rsidR="00000000" w:rsidDel="00000000" w:rsidP="00000000" w:rsidRDefault="00000000" w:rsidRPr="00000000" w14:paraId="00000169">
      <w:pPr>
        <w:pStyle w:val="Heading2"/>
        <w:tabs>
          <w:tab w:val="left" w:leader="none" w:pos="440"/>
          <w:tab w:val="right" w:leader="none" w:pos="8494"/>
        </w:tabs>
        <w:spacing w:line="480" w:lineRule="auto"/>
        <w:rPr/>
      </w:pPr>
      <w:bookmarkStart w:colFirst="0" w:colLast="0" w:name="_heading=h.w1bkxvdh4zse" w:id="22"/>
      <w:bookmarkEnd w:id="22"/>
      <w:r w:rsidDel="00000000" w:rsidR="00000000" w:rsidRPr="00000000">
        <w:rPr>
          <w:rtl w:val="0"/>
        </w:rPr>
        <w:t xml:space="preserve">Descripción</w:t>
      </w:r>
    </w:p>
    <w:p w:rsidR="00000000" w:rsidDel="00000000" w:rsidP="00000000" w:rsidRDefault="00000000" w:rsidRPr="00000000" w14:paraId="0000016A">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factibilidad técnica evalúa si el proyecto Enmask v2.0 puede ser implementado con la tecnología actualmente disponible, considerando los recursos de hardware, software, personal especializado y la capacidad de integración con los sistemas existentes. El análisis concluye que el proyecto es técnicamente viable, ya que todas las tecnologías seleccionadas son maduras, ampliamente adoptadas y cuentan con un ecosistema de soporte robusto.</w:t>
      </w:r>
      <w:r w:rsidDel="00000000" w:rsidR="00000000" w:rsidRPr="00000000">
        <w:rPr>
          <w:rtl w:val="0"/>
        </w:rPr>
      </w:r>
    </w:p>
    <w:p w:rsidR="00000000" w:rsidDel="00000000" w:rsidP="00000000" w:rsidRDefault="00000000" w:rsidRPr="00000000" w14:paraId="0000016B">
      <w:pPr>
        <w:pStyle w:val="Heading2"/>
        <w:tabs>
          <w:tab w:val="left" w:leader="none" w:pos="440"/>
          <w:tab w:val="right" w:leader="none" w:pos="8494"/>
        </w:tabs>
        <w:spacing w:line="480" w:lineRule="auto"/>
        <w:rPr/>
      </w:pPr>
      <w:bookmarkStart w:colFirst="0" w:colLast="0" w:name="_heading=h.9lliipfcyg7s" w:id="23"/>
      <w:bookmarkEnd w:id="23"/>
      <w:r w:rsidDel="00000000" w:rsidR="00000000" w:rsidRPr="00000000">
        <w:rPr>
          <w:rtl w:val="0"/>
        </w:rPr>
        <w:t xml:space="preserve">Hardware Requerido</w:t>
      </w:r>
    </w:p>
    <w:p w:rsidR="00000000" w:rsidDel="00000000" w:rsidP="00000000" w:rsidRDefault="00000000" w:rsidRPr="00000000" w14:paraId="0000016C">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hardware necesario para el despliegue de Enmask v2.0 se divide en dos categorías: el entorno de desarrollo/pruebas y el entorno de producción.</w:t>
      </w:r>
    </w:p>
    <w:p w:rsidR="00000000" w:rsidDel="00000000" w:rsidP="00000000" w:rsidRDefault="00000000" w:rsidRPr="00000000" w14:paraId="0000016D">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entorno de desarrollo y pruebas, se recomienda un servidor o estación de trabajo con las siguientes especificaciones mínimas:</w:t>
      </w:r>
    </w:p>
    <w:p w:rsidR="00000000" w:rsidDel="00000000" w:rsidP="00000000" w:rsidRDefault="00000000" w:rsidRPr="00000000" w14:paraId="0000016E">
      <w:pPr>
        <w:numPr>
          <w:ilvl w:val="0"/>
          <w:numId w:val="13"/>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Procesador: 4 núcleos a 2.5 GHz (Intel Core i5 o equivalente).</w:t>
      </w:r>
    </w:p>
    <w:p w:rsidR="00000000" w:rsidDel="00000000" w:rsidP="00000000" w:rsidRDefault="00000000" w:rsidRPr="00000000" w14:paraId="0000016F">
      <w:pPr>
        <w:numPr>
          <w:ilvl w:val="0"/>
          <w:numId w:val="13"/>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Memoria RAM: 16 GB.</w:t>
      </w:r>
    </w:p>
    <w:p w:rsidR="00000000" w:rsidDel="00000000" w:rsidP="00000000" w:rsidRDefault="00000000" w:rsidRPr="00000000" w14:paraId="00000170">
      <w:pPr>
        <w:numPr>
          <w:ilvl w:val="0"/>
          <w:numId w:val="13"/>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256 GB SSD para el sistema operativo, el código fuente y las bases de datos de prueba (incluyendo contenedores Docker para los motores soportados).</w:t>
      </w:r>
    </w:p>
    <w:p w:rsidR="00000000" w:rsidDel="00000000" w:rsidP="00000000" w:rsidRDefault="00000000" w:rsidRPr="00000000" w14:paraId="00000171">
      <w:pPr>
        <w:numPr>
          <w:ilvl w:val="0"/>
          <w:numId w:val="13"/>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de red: 100 Mbps para la descarga de imágenes Docker y la comunicación entre contenedores.</w:t>
      </w:r>
    </w:p>
    <w:p w:rsidR="00000000" w:rsidDel="00000000" w:rsidP="00000000" w:rsidRDefault="00000000" w:rsidRPr="00000000" w14:paraId="00000172">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entorno de producción, considerando que Enmask v2.0 opera como un orquestador (no procesa datos masivos), los requisitos son moderados, aunque deben dimensionarse según el número de usuarios concurrentes y la frecuencia de ejecución de jobs.</w:t>
      </w:r>
    </w:p>
    <w:p w:rsidR="00000000" w:rsidDel="00000000" w:rsidP="00000000" w:rsidRDefault="00000000" w:rsidRPr="00000000" w14:paraId="00000173">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aplicaciones (backend + frontend):</w:t>
      </w:r>
    </w:p>
    <w:p w:rsidR="00000000" w:rsidDel="00000000" w:rsidP="00000000" w:rsidRDefault="00000000" w:rsidRPr="00000000" w14:paraId="00000174">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Procesador: 8 núcleos a 2.8 GHz.</w:t>
      </w:r>
    </w:p>
    <w:p w:rsidR="00000000" w:rsidDel="00000000" w:rsidP="00000000" w:rsidRDefault="00000000" w:rsidRPr="00000000" w14:paraId="00000175">
      <w:pPr>
        <w:tabs>
          <w:tab w:val="left" w:leader="none" w:pos="440"/>
          <w:tab w:val="right" w:leader="none" w:pos="8494"/>
        </w:tabs>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Memoria RAM: 32 GB (para manejar múltiples conexiones concurrentes a bases de datos externas y la ejecución de jobs en paralelo).</w:t>
      </w:r>
    </w:p>
    <w:p w:rsidR="00000000" w:rsidDel="00000000" w:rsidP="00000000" w:rsidRDefault="00000000" w:rsidRPr="00000000" w14:paraId="00000176">
      <w:pPr>
        <w:tabs>
          <w:tab w:val="left" w:leader="none" w:pos="440"/>
          <w:tab w:val="right" w:leader="none" w:pos="8494"/>
        </w:tabs>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100 GB SSD para el sistema operativo, el código de la aplicación y los logs.</w:t>
      </w:r>
    </w:p>
    <w:p w:rsidR="00000000" w:rsidDel="00000000" w:rsidP="00000000" w:rsidRDefault="00000000" w:rsidRPr="00000000" w14:paraId="00000177">
      <w:pPr>
        <w:tabs>
          <w:tab w:val="left" w:leader="none" w:pos="440"/>
          <w:tab w:val="right" w:leader="none" w:pos="8494"/>
        </w:tabs>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metadatos (repositorio de usuarios, reglas, jobs, Vault):</w:t>
      </w:r>
    </w:p>
    <w:p w:rsidR="00000000" w:rsidDel="00000000" w:rsidP="00000000" w:rsidRDefault="00000000" w:rsidRPr="00000000" w14:paraId="00000179">
      <w:pPr>
        <w:tabs>
          <w:tab w:val="left" w:leader="none" w:pos="440"/>
          <w:tab w:val="right" w:leader="none" w:pos="8494"/>
        </w:tabs>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utiliza PostgreSQL como backend de metadatos: 4 núcleos, 16 GB RAM, 200 GB SSD.</w:t>
      </w:r>
    </w:p>
    <w:p w:rsidR="00000000" w:rsidDel="00000000" w:rsidP="00000000" w:rsidRDefault="00000000" w:rsidRPr="00000000" w14:paraId="0000017A">
      <w:pPr>
        <w:tabs>
          <w:tab w:val="left" w:leader="none" w:pos="440"/>
          <w:tab w:val="right" w:leader="none" w:pos="8494"/>
        </w:tabs>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utiliza MongoDB: 4 núcleos, 16 GB RAM, 200 GB SSD.</w:t>
      </w:r>
      <w:r w:rsidDel="00000000" w:rsidR="00000000" w:rsidRPr="00000000">
        <w:rPr>
          <w:rtl w:val="0"/>
        </w:rPr>
      </w:r>
    </w:p>
    <w:p w:rsidR="00000000" w:rsidDel="00000000" w:rsidP="00000000" w:rsidRDefault="00000000" w:rsidRPr="00000000" w14:paraId="0000017B">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y01owfg996la" w:id="24"/>
      <w:bookmarkEnd w:id="24"/>
      <w:r w:rsidDel="00000000" w:rsidR="00000000" w:rsidRPr="00000000">
        <w:rPr>
          <w:rFonts w:ascii="Times New Roman" w:cs="Times New Roman" w:eastAsia="Times New Roman" w:hAnsi="Times New Roman"/>
          <w:rtl w:val="0"/>
        </w:rPr>
        <w:t xml:space="preserve">Software Requerido</w:t>
      </w:r>
      <w:r w:rsidDel="00000000" w:rsidR="00000000" w:rsidRPr="00000000">
        <w:rPr>
          <w:rtl w:val="0"/>
        </w:rPr>
      </w:r>
    </w:p>
    <w:p w:rsidR="00000000" w:rsidDel="00000000" w:rsidP="00000000" w:rsidRDefault="00000000" w:rsidRPr="00000000" w14:paraId="0000017C">
      <w:pPr>
        <w:tabs>
          <w:tab w:val="left" w:leader="none" w:pos="440"/>
          <w:tab w:val="right" w:leader="none" w:pos="8494"/>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software necesario para el desarrollo y operación de Enmask v2.0 está compuesto por herramientas de código abierto y estándares de la industria, lo que garantiza su disponibilidad y bajo costo</w:t>
      </w:r>
      <w:r w:rsidDel="00000000" w:rsidR="00000000" w:rsidRPr="00000000">
        <w:rPr>
          <w:rtl w:val="0"/>
        </w:rPr>
      </w:r>
    </w:p>
    <w:p w:rsidR="00000000" w:rsidDel="00000000" w:rsidP="00000000" w:rsidRDefault="00000000" w:rsidRPr="00000000" w14:paraId="0000017D">
      <w:pPr>
        <w:pStyle w:val="Heading3"/>
        <w:keepNext w:val="0"/>
        <w:keepLines w:val="0"/>
        <w:tabs>
          <w:tab w:val="left" w:leader="none" w:pos="440"/>
          <w:tab w:val="right" w:leader="none" w:pos="8494"/>
        </w:tabs>
        <w:spacing w:line="480" w:lineRule="auto"/>
        <w:rPr>
          <w:rFonts w:ascii="Times New Roman" w:cs="Times New Roman" w:eastAsia="Times New Roman" w:hAnsi="Times New Roman"/>
        </w:rPr>
      </w:pPr>
      <w:bookmarkStart w:colFirst="0" w:colLast="0" w:name="_heading=h.buhf4d92jjvv" w:id="25"/>
      <w:bookmarkEnd w:id="25"/>
      <w:r w:rsidDel="00000000" w:rsidR="00000000" w:rsidRPr="00000000">
        <w:rPr>
          <w:rFonts w:ascii="Times New Roman" w:cs="Times New Roman" w:eastAsia="Times New Roman" w:hAnsi="Times New Roman"/>
          <w:rtl w:val="0"/>
        </w:rPr>
        <w:t xml:space="preserve">Lenguajes y Frameworks</w:t>
      </w:r>
    </w:p>
    <w:p w:rsidR="00000000" w:rsidDel="00000000" w:rsidP="00000000" w:rsidRDefault="00000000" w:rsidRPr="00000000" w14:paraId="0000017E">
      <w:pPr>
        <w:numPr>
          <w:ilvl w:val="0"/>
          <w:numId w:val="17"/>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Python 3.12+ con FastAPI (framework web asíncrono).</w:t>
      </w:r>
    </w:p>
    <w:p w:rsidR="00000000" w:rsidDel="00000000" w:rsidP="00000000" w:rsidRDefault="00000000" w:rsidRPr="00000000" w14:paraId="0000017F">
      <w:pPr>
        <w:numPr>
          <w:ilvl w:val="0"/>
          <w:numId w:val="17"/>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TypeScript 5.0+ con React 18+ y Vite (bundler).</w:t>
      </w:r>
    </w:p>
    <w:p w:rsidR="00000000" w:rsidDel="00000000" w:rsidP="00000000" w:rsidRDefault="00000000" w:rsidRPr="00000000" w14:paraId="00000180">
      <w:pPr>
        <w:numPr>
          <w:ilvl w:val="0"/>
          <w:numId w:val="17"/>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Pytest para el backend, Jest y React Testing Library para el frontend.</w:t>
      </w:r>
      <w:r w:rsidDel="00000000" w:rsidR="00000000" w:rsidRPr="00000000">
        <w:rPr>
          <w:rtl w:val="0"/>
        </w:rPr>
      </w:r>
    </w:p>
    <w:p w:rsidR="00000000" w:rsidDel="00000000" w:rsidP="00000000" w:rsidRDefault="00000000" w:rsidRPr="00000000" w14:paraId="00000181">
      <w:pPr>
        <w:pStyle w:val="Heading3"/>
        <w:tabs>
          <w:tab w:val="left" w:leader="none" w:pos="440"/>
          <w:tab w:val="right" w:leader="none" w:pos="8494"/>
        </w:tabs>
        <w:spacing w:line="480" w:lineRule="auto"/>
        <w:rPr/>
      </w:pPr>
      <w:bookmarkStart w:colFirst="0" w:colLast="0" w:name="_heading=h.z25uhsd03812" w:id="26"/>
      <w:bookmarkEnd w:id="26"/>
      <w:r w:rsidDel="00000000" w:rsidR="00000000" w:rsidRPr="00000000">
        <w:rPr>
          <w:rtl w:val="0"/>
        </w:rPr>
        <w:t xml:space="preserve">Desarrollo Web</w:t>
      </w:r>
    </w:p>
    <w:p w:rsidR="00000000" w:rsidDel="00000000" w:rsidP="00000000" w:rsidRDefault="00000000" w:rsidRPr="00000000" w14:paraId="00000182">
      <w:pPr>
        <w:numPr>
          <w:ilvl w:val="0"/>
          <w:numId w:val="16"/>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web: Uvicorn (para el entorno de desarrollo) y Gunicorn con Uvicorn workers (para producción).</w:t>
      </w:r>
    </w:p>
    <w:p w:rsidR="00000000" w:rsidDel="00000000" w:rsidP="00000000" w:rsidRDefault="00000000" w:rsidRPr="00000000" w14:paraId="00000183">
      <w:pPr>
        <w:numPr>
          <w:ilvl w:val="0"/>
          <w:numId w:val="16"/>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Contenerización: Docker y Docker Compose para el entorno de desarrollo y despliegue en producción.</w:t>
      </w:r>
    </w:p>
    <w:p w:rsidR="00000000" w:rsidDel="00000000" w:rsidP="00000000" w:rsidRDefault="00000000" w:rsidRPr="00000000" w14:paraId="00000184">
      <w:pPr>
        <w:numPr>
          <w:ilvl w:val="0"/>
          <w:numId w:val="16"/>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Orquestación de contenedores: Kubernetes (opcional para producción a gran escala).</w:t>
      </w:r>
    </w:p>
    <w:p w:rsidR="00000000" w:rsidDel="00000000" w:rsidP="00000000" w:rsidRDefault="00000000" w:rsidRPr="00000000" w14:paraId="00000185">
      <w:pPr>
        <w:numPr>
          <w:ilvl w:val="0"/>
          <w:numId w:val="16"/>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 Git con GitHub/GitLab como repositorio remoto.</w:t>
      </w:r>
    </w:p>
    <w:p w:rsidR="00000000" w:rsidDel="00000000" w:rsidP="00000000" w:rsidRDefault="00000000" w:rsidRPr="00000000" w14:paraId="00000186">
      <w:pPr>
        <w:tabs>
          <w:tab w:val="left" w:leader="none" w:pos="440"/>
          <w:tab w:val="right" w:leader="none" w:pos="8494"/>
        </w:tabs>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Style w:val="Heading3"/>
        <w:tabs>
          <w:tab w:val="left" w:leader="none" w:pos="440"/>
          <w:tab w:val="right" w:leader="none" w:pos="8494"/>
        </w:tabs>
        <w:spacing w:line="480" w:lineRule="auto"/>
        <w:rPr/>
      </w:pPr>
      <w:bookmarkStart w:colFirst="0" w:colLast="0" w:name="_heading=h.3o63wufyc1w4" w:id="27"/>
      <w:bookmarkEnd w:id="27"/>
      <w:r w:rsidDel="00000000" w:rsidR="00000000" w:rsidRPr="00000000">
        <w:rPr>
          <w:rtl w:val="0"/>
        </w:rPr>
        <w:t xml:space="preserve">Bases de Datos</w:t>
      </w:r>
    </w:p>
    <w:p w:rsidR="00000000" w:rsidDel="00000000" w:rsidP="00000000" w:rsidRDefault="00000000" w:rsidRPr="00000000" w14:paraId="00000188">
      <w:pPr>
        <w:tabs>
          <w:tab w:val="left" w:leader="none" w:pos="440"/>
          <w:tab w:val="right" w:leader="none" w:pos="8494"/>
        </w:tabs>
        <w:spacing w:after="240" w:before="240" w:line="480" w:lineRule="auto"/>
        <w:ind w:left="0" w:firstLine="0"/>
        <w:rPr>
          <w:rFonts w:ascii="Times New Roman" w:cs="Times New Roman" w:eastAsia="Times New Roman" w:hAnsi="Times New Roman"/>
        </w:rPr>
      </w:pPr>
      <w:r w:rsidDel="00000000" w:rsidR="00000000" w:rsidRPr="00000000">
        <w:rPr>
          <w:rtl w:val="0"/>
        </w:rPr>
      </w:r>
    </w:p>
    <w:sdt>
      <w:sdtPr>
        <w:lock w:val="contentLocked"/>
        <w:id w:val="-1035324763"/>
        <w:tag w:val="goog_rdk_5"/>
      </w:sdtPr>
      <w:sdtContent>
        <w:tbl>
          <w:tblPr>
            <w:tblStyle w:val="Table6"/>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835"/>
            <w:gridCol w:w="2835"/>
            <w:tblGridChange w:id="0">
              <w:tblGrid>
                <w:gridCol w:w="2835"/>
                <w:gridCol w:w="2835"/>
                <w:gridCol w:w="283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Propósito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Tecnología</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 metadatos (usuarios, reglas, jobs,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o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(PostgreSQL) o 5.0+ (MongoDB)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para motores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(psycopg3/asyncpg), MySQL (aiomysql), SQL Server (pyodbc/aioodbc), MongoDB (motor), Cassandra (cassandra-driver), Redis (redis-py), Neo4j (neobolt)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Versiones compatibles con los motores destino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para encriptación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cryptography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datos ficticios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Faker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r>
        </w:tbl>
      </w:sdtContent>
    </w:sdt>
    <w:p w:rsidR="00000000" w:rsidDel="00000000" w:rsidP="00000000" w:rsidRDefault="00000000" w:rsidRPr="00000000" w14:paraId="00000198">
      <w:pPr>
        <w:tabs>
          <w:tab w:val="left" w:leader="none" w:pos="440"/>
          <w:tab w:val="right" w:leader="none" w:pos="8494"/>
        </w:tabs>
        <w:spacing w:after="240" w:before="240" w:line="48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3"/>
        <w:tabs>
          <w:tab w:val="left" w:leader="none" w:pos="440"/>
          <w:tab w:val="right" w:leader="none" w:pos="8494"/>
        </w:tabs>
        <w:spacing w:line="480" w:lineRule="auto"/>
        <w:rPr/>
      </w:pPr>
      <w:bookmarkStart w:colFirst="0" w:colLast="0" w:name="_heading=h.kv7no7ys3g9" w:id="28"/>
      <w:bookmarkEnd w:id="28"/>
      <w:r w:rsidDel="00000000" w:rsidR="00000000" w:rsidRPr="00000000">
        <w:rPr>
          <w:rtl w:val="0"/>
        </w:rPr>
        <w:t xml:space="preserve">Herramientas Complementarias</w:t>
      </w:r>
    </w:p>
    <w:p w:rsidR="00000000" w:rsidDel="00000000" w:rsidP="00000000" w:rsidRDefault="00000000" w:rsidRPr="00000000" w14:paraId="0000019A">
      <w:pPr>
        <w:numPr>
          <w:ilvl w:val="0"/>
          <w:numId w:val="1"/>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dependencias: Poetry (para Python) y npm/yarn (para Node.js).</w:t>
      </w:r>
    </w:p>
    <w:p w:rsidR="00000000" w:rsidDel="00000000" w:rsidP="00000000" w:rsidRDefault="00000000" w:rsidRPr="00000000" w14:paraId="0000019B">
      <w:pPr>
        <w:numPr>
          <w:ilvl w:val="0"/>
          <w:numId w:val="1"/>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de entorno: python-dotenv.</w:t>
      </w:r>
    </w:p>
    <w:p w:rsidR="00000000" w:rsidDel="00000000" w:rsidP="00000000" w:rsidRDefault="00000000" w:rsidRPr="00000000" w14:paraId="0000019C">
      <w:pPr>
        <w:numPr>
          <w:ilvl w:val="0"/>
          <w:numId w:val="1"/>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Loguru (Python) con integración a sistemas de monitoreo (ELK, Prometheus).</w:t>
      </w:r>
    </w:p>
    <w:p w:rsidR="00000000" w:rsidDel="00000000" w:rsidP="00000000" w:rsidRDefault="00000000" w:rsidRPr="00000000" w14:paraId="0000019D">
      <w:pPr>
        <w:numPr>
          <w:ilvl w:val="0"/>
          <w:numId w:val="1"/>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y seguridad: PyJWT (JWT), bcrypt (hash de contraseñas).</w:t>
      </w:r>
    </w:p>
    <w:p w:rsidR="00000000" w:rsidDel="00000000" w:rsidP="00000000" w:rsidRDefault="00000000" w:rsidRPr="00000000" w14:paraId="0000019E">
      <w:pPr>
        <w:numPr>
          <w:ilvl w:val="0"/>
          <w:numId w:val="1"/>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y métricas: Prometheus + Grafana (opcional para producción)</w:t>
      </w:r>
    </w:p>
    <w:p w:rsidR="00000000" w:rsidDel="00000000" w:rsidP="00000000" w:rsidRDefault="00000000" w:rsidRPr="00000000" w14:paraId="0000019F">
      <w:pPr>
        <w:tabs>
          <w:tab w:val="left" w:leader="none" w:pos="440"/>
          <w:tab w:val="right" w:leader="none" w:pos="8494"/>
        </w:tabs>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tabs>
          <w:tab w:val="left" w:leader="none" w:pos="440"/>
          <w:tab w:val="right" w:leader="none" w:pos="8494"/>
        </w:tabs>
        <w:spacing w:line="480" w:lineRule="auto"/>
        <w:rPr/>
      </w:pPr>
      <w:bookmarkStart w:colFirst="0" w:colLast="0" w:name="_heading=h.35otyt4t3axr" w:id="29"/>
      <w:bookmarkEnd w:id="29"/>
      <w:r w:rsidDel="00000000" w:rsidR="00000000" w:rsidRPr="00000000">
        <w:rPr>
          <w:rtl w:val="0"/>
        </w:rPr>
        <w:t xml:space="preserve">Disponibilidad de la Tecnología</w:t>
      </w:r>
    </w:p>
    <w:p w:rsidR="00000000" w:rsidDel="00000000" w:rsidP="00000000" w:rsidRDefault="00000000" w:rsidRPr="00000000" w14:paraId="000001A1">
      <w:pPr>
        <w:tabs>
          <w:tab w:val="left" w:leader="none" w:pos="440"/>
          <w:tab w:val="right" w:leader="none" w:pos="8494"/>
        </w:tabs>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tecnologías listadas son de código abierto, cuentan con amplia documentación, comunidades activas y soporte a largo plazo. FastAPI, React y TypeScript son estándares de la industria moderna, con una curva de aprendizaje bien documentada y numerosos recursos educativos disponibles. Las bases de datos soportadas (PostgreSQL, MySQL, SQL Server, MongoDB, Cassandra, Redis, Neo4j) son ampliamente utilizadas en entornos empresariales y cuentan con versiones gratuitas o de código abierto para desarrollo y pruebas.</w:t>
      </w:r>
    </w:p>
    <w:p w:rsidR="00000000" w:rsidDel="00000000" w:rsidP="00000000" w:rsidRDefault="00000000" w:rsidRPr="00000000" w14:paraId="000001A2">
      <w:pPr>
        <w:tabs>
          <w:tab w:val="left" w:leader="none" w:pos="440"/>
          <w:tab w:val="right" w:leader="none" w:pos="8494"/>
        </w:tabs>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tabs>
          <w:tab w:val="left" w:leader="none" w:pos="440"/>
          <w:tab w:val="right" w:leader="none" w:pos="8494"/>
        </w:tabs>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única tecnología que podría presentar un desafío inicial es la utilización de funciones nativas específicas como $function en MongoDB o scripts Lua en Redis. Sin embargo, estas características están bien documentadas por los fabricantes y existen numerosos ejemplos de implementación disponibles en la comunidad.</w:t>
      </w:r>
      <w:r w:rsidDel="00000000" w:rsidR="00000000" w:rsidRPr="00000000">
        <w:rPr>
          <w:rtl w:val="0"/>
        </w:rPr>
      </w:r>
    </w:p>
    <w:p w:rsidR="00000000" w:rsidDel="00000000" w:rsidP="00000000" w:rsidRDefault="00000000" w:rsidRPr="00000000" w14:paraId="000001A4">
      <w:pPr>
        <w:pStyle w:val="Heading2"/>
        <w:tabs>
          <w:tab w:val="left" w:leader="none" w:pos="440"/>
          <w:tab w:val="right" w:leader="none" w:pos="8494"/>
        </w:tabs>
        <w:spacing w:line="480" w:lineRule="auto"/>
        <w:rPr/>
      </w:pPr>
      <w:bookmarkStart w:colFirst="0" w:colLast="0" w:name="_heading=h.x91gsjhd43fa" w:id="30"/>
      <w:bookmarkEnd w:id="30"/>
      <w:r w:rsidDel="00000000" w:rsidR="00000000" w:rsidRPr="00000000">
        <w:rPr>
          <w:rtl w:val="0"/>
        </w:rPr>
        <w:t xml:space="preserve">Disponibilidad del Personal</w:t>
      </w:r>
    </w:p>
    <w:p w:rsidR="00000000" w:rsidDel="00000000" w:rsidP="00000000" w:rsidRDefault="00000000" w:rsidRPr="00000000" w14:paraId="000001A5">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de desarrollo posee conocimientos en:</w:t>
      </w:r>
    </w:p>
    <w:p w:rsidR="00000000" w:rsidDel="00000000" w:rsidP="00000000" w:rsidRDefault="00000000" w:rsidRPr="00000000" w14:paraId="000001A6">
      <w:pPr>
        <w:numPr>
          <w:ilvl w:val="0"/>
          <w:numId w:val="5"/>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Dominio de Python, FastAPI, SQLAlchemy (o motor asíncrono equivalente), y experiencia con al menos dos de los motores de bases de datos destino.</w:t>
      </w:r>
    </w:p>
    <w:p w:rsidR="00000000" w:rsidDel="00000000" w:rsidP="00000000" w:rsidRDefault="00000000" w:rsidRPr="00000000" w14:paraId="000001A7">
      <w:pPr>
        <w:numPr>
          <w:ilvl w:val="0"/>
          <w:numId w:val="5"/>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Dominio de React, TypeScript, Vite y manejo de estado (React Context o Redux).</w:t>
      </w:r>
    </w:p>
    <w:p w:rsidR="00000000" w:rsidDel="00000000" w:rsidP="00000000" w:rsidRDefault="00000000" w:rsidRPr="00000000" w14:paraId="000001A8">
      <w:pPr>
        <w:numPr>
          <w:ilvl w:val="0"/>
          <w:numId w:val="5"/>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Conocimientos de Docker, Docker Compose, Kubernetes (deseable), y administración de bases de datos.</w:t>
      </w:r>
    </w:p>
    <w:p w:rsidR="00000000" w:rsidDel="00000000" w:rsidP="00000000" w:rsidRDefault="00000000" w:rsidRPr="00000000" w14:paraId="000001A9">
      <w:pPr>
        <w:pStyle w:val="Heading2"/>
        <w:tabs>
          <w:tab w:val="left" w:leader="none" w:pos="440"/>
          <w:tab w:val="right" w:leader="none" w:pos="8494"/>
        </w:tabs>
        <w:spacing w:line="480" w:lineRule="auto"/>
        <w:rPr/>
      </w:pPr>
      <w:bookmarkStart w:colFirst="0" w:colLast="0" w:name="_heading=h.7t8fsy45hwg4" w:id="31"/>
      <w:bookmarkEnd w:id="31"/>
      <w:r w:rsidDel="00000000" w:rsidR="00000000" w:rsidRPr="00000000">
        <w:rPr>
          <w:rtl w:val="0"/>
        </w:rPr>
        <w:t xml:space="preserve">Viabilidad de Integración</w:t>
      </w:r>
    </w:p>
    <w:p w:rsidR="00000000" w:rsidDel="00000000" w:rsidP="00000000" w:rsidRDefault="00000000" w:rsidRPr="00000000" w14:paraId="000001AA">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Enmask v2.0 está diseñado para integrarse con los sistemas existentes de las organizaciones a través de los siguientes mecanismos:</w:t>
      </w:r>
    </w:p>
    <w:p w:rsidR="00000000" w:rsidDel="00000000" w:rsidP="00000000" w:rsidRDefault="00000000" w:rsidRPr="00000000" w14:paraId="000001AB">
      <w:pPr>
        <w:numPr>
          <w:ilvl w:val="0"/>
          <w:numId w:val="4"/>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REST: Todos los endpoints están documentados con OpenAPI, permitiendo que sistemas externos (CI/CD, herramientas de orquestación, etc.) puedan automatizar la creación y ejecución de jobs de enmascaramiento.</w:t>
      </w:r>
    </w:p>
    <w:p w:rsidR="00000000" w:rsidDel="00000000" w:rsidP="00000000" w:rsidRDefault="00000000" w:rsidRPr="00000000" w14:paraId="000001AC">
      <w:pPr>
        <w:numPr>
          <w:ilvl w:val="0"/>
          <w:numId w:val="4"/>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bases de datos externas: El sistema se conecta a los motores destino mediante drivers estándar (asyncpg, aiomysql, motor, etc.), sin requerir modificaciones en las bases de datos productivas más allá de la ejecución de comandos DDL (ALTER TABLE, CREATE FUNCTION) que son reversibles y controlados.</w:t>
      </w:r>
    </w:p>
    <w:p w:rsidR="00000000" w:rsidDel="00000000" w:rsidP="00000000" w:rsidRDefault="00000000" w:rsidRPr="00000000" w14:paraId="000001AD">
      <w:pPr>
        <w:numPr>
          <w:ilvl w:val="0"/>
          <w:numId w:val="4"/>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y autorización: El sistema utiliza JWT para autenticación, lo que facilita la integración con gateways de API o sistemas de identidad existentes (mediante la adición de un middleware).</w:t>
      </w:r>
    </w:p>
    <w:p w:rsidR="00000000" w:rsidDel="00000000" w:rsidP="00000000" w:rsidRDefault="00000000" w:rsidRPr="00000000" w14:paraId="000001AE">
      <w:pPr>
        <w:numPr>
          <w:ilvl w:val="0"/>
          <w:numId w:val="4"/>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Exportación de datos: Los resultados de los jobs (estadísticas, logs de auditoría) pueden ser exportados en formato JSON o CSV a través de los endpoints de reportes, facilitando su consumo por herramientas de BI o cumplimiento normativo.</w:t>
      </w:r>
    </w:p>
    <w:p w:rsidR="00000000" w:rsidDel="00000000" w:rsidP="00000000" w:rsidRDefault="00000000" w:rsidRPr="00000000" w14:paraId="000001AF">
      <w:pPr>
        <w:numPr>
          <w:ilvl w:val="0"/>
          <w:numId w:val="4"/>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Contenerización: El sistema se entrega con Dockerfiles y docker-compose.yml preconfigurados, permitiendo un despliegue rápido en cualquier entorno que soporte contenedores (on-premise o nube).</w:t>
      </w:r>
    </w:p>
    <w:p w:rsidR="00000000" w:rsidDel="00000000" w:rsidP="00000000" w:rsidRDefault="00000000" w:rsidRPr="00000000" w14:paraId="000001B0">
      <w:pPr>
        <w:tabs>
          <w:tab w:val="left" w:leader="none" w:pos="440"/>
          <w:tab w:val="right" w:leader="none" w:pos="8494"/>
        </w:tabs>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Style w:val="Heading1"/>
        <w:keepNext w:val="0"/>
        <w:keepLines w:val="0"/>
        <w:tabs>
          <w:tab w:val="left" w:leader="none" w:pos="440"/>
          <w:tab w:val="right" w:leader="none" w:pos="8494"/>
        </w:tabs>
        <w:spacing w:line="480" w:lineRule="auto"/>
        <w:rPr/>
      </w:pPr>
      <w:bookmarkStart w:colFirst="0" w:colLast="0" w:name="_heading=h.1lmvscb9sw8w" w:id="32"/>
      <w:bookmarkEnd w:id="32"/>
      <w:r w:rsidDel="00000000" w:rsidR="00000000" w:rsidRPr="00000000">
        <w:rPr>
          <w:rtl w:val="0"/>
        </w:rPr>
        <w:t xml:space="preserve">Desarrollo de Factibilidad</w:t>
      </w:r>
      <w:r w:rsidDel="00000000" w:rsidR="00000000" w:rsidRPr="00000000">
        <w:rPr>
          <w:rtl w:val="0"/>
        </w:rPr>
      </w:r>
    </w:p>
    <w:p w:rsidR="00000000" w:rsidDel="00000000" w:rsidP="00000000" w:rsidRDefault="00000000" w:rsidRPr="00000000" w14:paraId="000001B2">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Enmask v2.0 es técnicamente factible. Todos los componentes de software y hardware necesarios están disponibles en el mercado, son de código abierto o de bajo costo, y cuentan con comunidades activas que garantizan su mantenimiento y evolución. El equipo de desarrollo puede ser conformado con perfiles estándar de ingeniería de software, y la curva de aprendizaje para las tecnologías específicas es manejable dentro de los plazos típicos de un proyecto de esta magnitud. La integración con los sistemas existentes es viable mediante APIs estándar y conectores maduros, y los desafíos identificados (versiones antiguas de motores, políticas de red) tienen soluciones documentadas. Por lo tanto, no existen impedimentos técnicos que impidan la implementación exitosa de Enmask v2.0.</w:t>
      </w:r>
      <w:r w:rsidDel="00000000" w:rsidR="00000000" w:rsidRPr="00000000">
        <w:rPr>
          <w:rtl w:val="0"/>
        </w:rPr>
      </w:r>
    </w:p>
    <w:p w:rsidR="00000000" w:rsidDel="00000000" w:rsidP="00000000" w:rsidRDefault="00000000" w:rsidRPr="00000000" w14:paraId="000001B3">
      <w:pPr>
        <w:pStyle w:val="Heading2"/>
        <w:keepNext w:val="0"/>
        <w:keepLines w:val="0"/>
        <w:tabs>
          <w:tab w:val="left" w:leader="none" w:pos="440"/>
          <w:tab w:val="right" w:leader="none" w:pos="8494"/>
        </w:tabs>
        <w:spacing w:line="480" w:lineRule="auto"/>
        <w:rPr>
          <w:rFonts w:ascii="Times New Roman" w:cs="Times New Roman" w:eastAsia="Times New Roman" w:hAnsi="Times New Roman"/>
        </w:rPr>
      </w:pPr>
      <w:bookmarkStart w:colFirst="0" w:colLast="0" w:name="_heading=h.f3jlo3h9gmnj" w:id="33"/>
      <w:bookmarkEnd w:id="33"/>
      <w:r w:rsidDel="00000000" w:rsidR="00000000" w:rsidRPr="00000000">
        <w:rPr>
          <w:rFonts w:ascii="Times New Roman" w:cs="Times New Roman" w:eastAsia="Times New Roman" w:hAnsi="Times New Roman"/>
          <w:rtl w:val="0"/>
        </w:rPr>
        <w:t xml:space="preserve">4.2 Factibilidad Económica</w:t>
      </w:r>
    </w:p>
    <w:p w:rsidR="00000000" w:rsidDel="00000000" w:rsidP="00000000" w:rsidRDefault="00000000" w:rsidRPr="00000000" w14:paraId="000001B4">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factibilidad económica evalúa si los recursos necesarios para desarrollar e implementar Enmask v2.0 están al alcance de un proyecto universitario. Dado que el proyecto se enmarca en un curso de Bases de Datos, los costos se han ajustado a la realidad estudiantil, priorizando el uso de herramientas gratuitas, licencias académicas y el tiempo de dedicación de los integrantes del equipo.</w:t>
      </w:r>
    </w:p>
    <w:p w:rsidR="00000000" w:rsidDel="00000000" w:rsidP="00000000" w:rsidRDefault="00000000" w:rsidRPr="00000000" w14:paraId="000001B5">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Inversión Inicial (Recursos Necesarios)</w:t>
      </w:r>
    </w:p>
    <w:p w:rsidR="00000000" w:rsidDel="00000000" w:rsidP="00000000" w:rsidRDefault="00000000" w:rsidRPr="00000000" w14:paraId="000001B6">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inversión inicial comprende todos los gastos y recursos necesarios para llevar el sistema desde su concepción hasta su presentación final. En el contexto estudiantil, los costos económicos directos son mínimos, ya que la mayor inversión es el tiempo y esfuerzo del equipo.</w:t>
      </w:r>
    </w:p>
    <w:sdt>
      <w:sdtPr>
        <w:lock w:val="contentLocked"/>
        <w:id w:val="69309661"/>
        <w:tag w:val="goog_rdk_6"/>
      </w:sdtPr>
      <w:sdtContent>
        <w:tbl>
          <w:tblPr>
            <w:tblStyle w:val="Table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295"/>
            <w:gridCol w:w="1725"/>
            <w:tblGridChange w:id="0">
              <w:tblGrid>
                <w:gridCol w:w="1890"/>
                <w:gridCol w:w="5295"/>
                <w:gridCol w:w="172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servicios cloud gratuitos o con créditos para estudiantes (AWS Educate, Azure for Students, Google Cloud Platform). Incluye instancias pequeñas para backend, frontend y bases de datos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(créditos gratuitos)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motores utilizados (PostgreSQL, MySQL, SQL Server, MongoDB, Cassandra, Redis, Neo4j) tienen versiones comunitarias gratuitas o licencias de desarrollo sin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(gratuito), Docker Desktop (gratuito), Git y GitHub (gratuitos).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Licencias de SQL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Developer Edition es gratuita para fines de desarrollo y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en línea (documentación oficial, tutoriales, videos) disponibles gratuitamente.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Imprevistos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adicional en disco o aumento de créditos en la nube (margen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 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INVERSIÓN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(S/ 37)</w:t>
                </w:r>
              </w:p>
            </w:tc>
          </w:tr>
        </w:tbl>
      </w:sdtContent>
    </w:sdt>
    <w:p w:rsidR="00000000" w:rsidDel="00000000" w:rsidP="00000000" w:rsidRDefault="00000000" w:rsidRPr="00000000" w14:paraId="000001D2">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Operativos (Durante el Desarrollo)</w:t>
      </w:r>
    </w:p>
    <w:p w:rsidR="00000000" w:rsidDel="00000000" w:rsidP="00000000" w:rsidRDefault="00000000" w:rsidRPr="00000000" w14:paraId="000001D3">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período de desarrollo del proyecto (aproximadamente 4 meses), los costos operativos se limitan al mantenimiento de los servicios en la nube y el tiempo de dedicación del equipo.</w:t>
      </w:r>
    </w:p>
    <w:p w:rsidR="00000000" w:rsidDel="00000000" w:rsidP="00000000" w:rsidRDefault="00000000" w:rsidRPr="00000000" w14:paraId="000001D4">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sdt>
      <w:sdtPr>
        <w:lock w:val="contentLocked"/>
        <w:id w:val="975724848"/>
        <w:tag w:val="goog_rdk_7"/>
      </w:sdtPr>
      <w:sdtContent>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880"/>
            <w:gridCol w:w="1215"/>
            <w:tblGridChange w:id="0">
              <w:tblGrid>
                <w:gridCol w:w="1920"/>
                <w:gridCol w:w="5880"/>
                <w:gridCol w:w="121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Mensual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en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Instancias ligeras para el backend y frontend (ej. t2.micro en AWS o B1s en Azure), dentro del crédito gratuito.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para backups y bases de datos de prueba (estimado 10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desea desplegar públicamente, se puede usar un dominio gratuito (ej. .tk) o uno de bajo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COSTOS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bl>
      </w:sdtContent>
    </w:sdt>
    <w:p w:rsidR="00000000" w:rsidDel="00000000" w:rsidP="00000000" w:rsidRDefault="00000000" w:rsidRPr="00000000" w14:paraId="000001E4">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Rentabilidad</w:t>
      </w:r>
    </w:p>
    <w:p w:rsidR="00000000" w:rsidDel="00000000" w:rsidP="00000000" w:rsidRDefault="00000000" w:rsidRPr="00000000" w14:paraId="000001E5">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los costos económicos directos son prácticamente nulos (aproximadamente $10 o S/ 37 soles), el proyecto es altamente viable desde el punto de vista financiero. El retorno de inversión no se mide en dinero, sino en la adquisición de conocimientos y habilidades que serán fundamentales para el futuro profesional de los estudiantes.</w:t>
      </w:r>
    </w:p>
    <w:p w:rsidR="00000000" w:rsidDel="00000000" w:rsidP="00000000" w:rsidRDefault="00000000" w:rsidRPr="00000000" w14:paraId="000001E6">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de Viabilidad:</w:t>
      </w:r>
    </w:p>
    <w:p w:rsidR="00000000" w:rsidDel="00000000" w:rsidP="00000000" w:rsidRDefault="00000000" w:rsidRPr="00000000" w14:paraId="000001E7">
      <w:pPr>
        <w:numPr>
          <w:ilvl w:val="0"/>
          <w:numId w:val="15"/>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Inversión Inicial: $10 (S/ 37)</w:t>
      </w:r>
    </w:p>
    <w:p w:rsidR="00000000" w:rsidDel="00000000" w:rsidP="00000000" w:rsidRDefault="00000000" w:rsidRPr="00000000" w14:paraId="000001E8">
      <w:pPr>
        <w:numPr>
          <w:ilvl w:val="0"/>
          <w:numId w:val="15"/>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Requeridos: Acceso a internet, computadora personal y tiempo de dedicación (4 meses, aproximadamente 10 horas/semana por integrante).</w:t>
      </w:r>
    </w:p>
    <w:p w:rsidR="00000000" w:rsidDel="00000000" w:rsidP="00000000" w:rsidRDefault="00000000" w:rsidRPr="00000000" w14:paraId="000001E9">
      <w:pPr>
        <w:numPr>
          <w:ilvl w:val="0"/>
          <w:numId w:val="15"/>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Académico Obtenido: Aprobación del curso, dominio técnico de múltiples motores de bases de datos, experiencia en seguridad de datos y desarrollo de un proyecto complejo de principio a fin.</w:t>
      </w:r>
      <w:r w:rsidDel="00000000" w:rsidR="00000000" w:rsidRPr="00000000">
        <w:rPr>
          <w:rtl w:val="0"/>
        </w:rPr>
      </w:r>
    </w:p>
    <w:p w:rsidR="00000000" w:rsidDel="00000000" w:rsidP="00000000" w:rsidRDefault="00000000" w:rsidRPr="00000000" w14:paraId="000001EA">
      <w:pPr>
        <w:pStyle w:val="Heading2"/>
        <w:tabs>
          <w:tab w:val="left" w:leader="none" w:pos="440"/>
          <w:tab w:val="right" w:leader="none" w:pos="8494"/>
        </w:tabs>
        <w:spacing w:line="480" w:lineRule="auto"/>
        <w:rPr/>
      </w:pPr>
      <w:bookmarkStart w:colFirst="0" w:colLast="0" w:name="_heading=h.3x1hywvz464p" w:id="34"/>
      <w:bookmarkEnd w:id="34"/>
      <w:r w:rsidDel="00000000" w:rsidR="00000000" w:rsidRPr="00000000">
        <w:rPr>
          <w:rtl w:val="0"/>
        </w:rPr>
        <w:t xml:space="preserve">Conclusión sobre la Factibilidad Económica</w:t>
      </w:r>
    </w:p>
    <w:p w:rsidR="00000000" w:rsidDel="00000000" w:rsidP="00000000" w:rsidRDefault="00000000" w:rsidRPr="00000000" w14:paraId="000001EB">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Enmask v2.0 es económicamente viable para un contexto universitario. Los costos directos son mínimos (inferiores a $10 dólares) gracias al uso de herramientas gratuitas y licencias académicas. El principal recurso requerido es el tiempo y dedicación del equipo, el cual está dentro de las capacidades de un grupo de estudiantes universitarios comprometidos. El valor obtenido (conocimientos, habilidades y aprobación del curso) supera ampliamente la inversión requerida, haciendo que el proyecto sea no solo factible, sino también altamente recomendable desde una perspectiva académica y de desarrollo profesional.</w:t>
      </w:r>
    </w:p>
    <w:p w:rsidR="00000000" w:rsidDel="00000000" w:rsidP="00000000" w:rsidRDefault="00000000" w:rsidRPr="00000000" w14:paraId="000001EC">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6bpli8luz7w5" w:id="35"/>
      <w:bookmarkEnd w:id="35"/>
      <w:r w:rsidDel="00000000" w:rsidR="00000000" w:rsidRPr="00000000">
        <w:rPr>
          <w:rFonts w:ascii="Times New Roman" w:cs="Times New Roman" w:eastAsia="Times New Roman" w:hAnsi="Times New Roman"/>
          <w:rtl w:val="0"/>
        </w:rPr>
        <w:t xml:space="preserve">4.4. Factibilidad Legal</w:t>
      </w:r>
    </w:p>
    <w:p w:rsidR="00000000" w:rsidDel="00000000" w:rsidP="00000000" w:rsidRDefault="00000000" w:rsidRPr="00000000" w14:paraId="000001ED">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Enmask v2.0 maneja datos personales (PII) de manera directa, por lo que debe considerar el marco normativo vigente. Aunque el desarrollo sea académico, la implementación demuestra conocimiento de las regulaciones.</w:t>
      </w:r>
    </w:p>
    <w:p w:rsidR="00000000" w:rsidDel="00000000" w:rsidP="00000000" w:rsidRDefault="00000000" w:rsidRPr="00000000" w14:paraId="000001EE">
      <w:pPr>
        <w:pStyle w:val="Heading3"/>
        <w:tabs>
          <w:tab w:val="left" w:leader="none" w:pos="440"/>
          <w:tab w:val="right" w:leader="none" w:pos="8494"/>
        </w:tabs>
        <w:spacing w:after="240" w:before="240" w:line="480" w:lineRule="auto"/>
        <w:rPr/>
      </w:pPr>
      <w:bookmarkStart w:colFirst="0" w:colLast="0" w:name="_heading=h.b8ojg892puq6" w:id="36"/>
      <w:bookmarkEnd w:id="36"/>
      <w:r w:rsidDel="00000000" w:rsidR="00000000" w:rsidRPr="00000000">
        <w:rPr>
          <w:rtl w:val="0"/>
        </w:rPr>
        <w:t xml:space="preserve">Normativas aplicables.</w:t>
      </w:r>
    </w:p>
    <w:p w:rsidR="00000000" w:rsidDel="00000000" w:rsidP="00000000" w:rsidRDefault="00000000" w:rsidRPr="00000000" w14:paraId="000001EF">
      <w:pPr>
        <w:numPr>
          <w:ilvl w:val="0"/>
          <w:numId w:val="7"/>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GDPR (Reglamento General de Protección de Datos - UE): Exige la seudonimización y el cifrado de datos personales. Enmask implementa el Nivel 2 (encriptación física) como medida técnica que cumple con el artículo 32.</w:t>
      </w:r>
    </w:p>
    <w:p w:rsidR="00000000" w:rsidDel="00000000" w:rsidP="00000000" w:rsidRDefault="00000000" w:rsidRPr="00000000" w14:paraId="000001F0">
      <w:pPr>
        <w:numPr>
          <w:ilvl w:val="0"/>
          <w:numId w:val="7"/>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de Protección de Datos Personales (Perú - Ley N° 29733): Exige medidas de seguridad para el tratamiento de datos personales. Enmask proporciona trazabilidad (AuditLog) y control de acceso (RBAC), alineándose con los principios de confidencialidad e integridad.</w:t>
      </w:r>
    </w:p>
    <w:p w:rsidR="00000000" w:rsidDel="00000000" w:rsidP="00000000" w:rsidRDefault="00000000" w:rsidRPr="00000000" w14:paraId="000001F1">
      <w:pPr>
        <w:numPr>
          <w:ilvl w:val="0"/>
          <w:numId w:val="7"/>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PCI-DSS (Estándar de Seguridad de Datos para la Industria de Tarjetas de Pago): Aplica si se manejan números de tarjetas. El enmascaramiento y encriptación de campos sensibles reducen el alcance de auditoría PCI.</w:t>
      </w:r>
    </w:p>
    <w:p w:rsidR="00000000" w:rsidDel="00000000" w:rsidP="00000000" w:rsidRDefault="00000000" w:rsidRPr="00000000" w14:paraId="000001F2">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Style w:val="Heading3"/>
        <w:tabs>
          <w:tab w:val="left" w:leader="none" w:pos="440"/>
          <w:tab w:val="right" w:leader="none" w:pos="8494"/>
        </w:tabs>
        <w:spacing w:after="240" w:before="240" w:line="480" w:lineRule="auto"/>
        <w:rPr/>
      </w:pPr>
      <w:bookmarkStart w:colFirst="0" w:colLast="0" w:name="_heading=h.nph8hweejmb5" w:id="37"/>
      <w:bookmarkEnd w:id="37"/>
      <w:r w:rsidDel="00000000" w:rsidR="00000000" w:rsidRPr="00000000">
        <w:rPr>
          <w:rtl w:val="0"/>
        </w:rPr>
        <w:t xml:space="preserve">Cumplimiento legal del sistema.</w:t>
      </w:r>
    </w:p>
    <w:p w:rsidR="00000000" w:rsidDel="00000000" w:rsidP="00000000" w:rsidRDefault="00000000" w:rsidRPr="00000000" w14:paraId="000001F4">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numPr>
          <w:ilvl w:val="0"/>
          <w:numId w:val="3"/>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Licenciamiento: Todas las tecnologías utilizadas (Python, FastAPI, React, PostgreSQL, MySQL, MongoDB, Cassandra, Redis, Neo4j) son de código abierto o tienen versiones gratuitas para desarrollo, sin restricciones legales para uso académico.</w:t>
      </w:r>
    </w:p>
    <w:p w:rsidR="00000000" w:rsidDel="00000000" w:rsidP="00000000" w:rsidRDefault="00000000" w:rsidRPr="00000000" w14:paraId="000001F6">
      <w:pPr>
        <w:numPr>
          <w:ilvl w:val="0"/>
          <w:numId w:val="3"/>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Propiedad intelectual: El código desarrollado es propiedad del equipo, y se puede publicar bajo licencia MIT o GPL sin infringir derechos de terceros.</w:t>
      </w:r>
    </w:p>
    <w:p w:rsidR="00000000" w:rsidDel="00000000" w:rsidP="00000000" w:rsidRDefault="00000000" w:rsidRPr="00000000" w14:paraId="000001F7">
      <w:pPr>
        <w:numPr>
          <w:ilvl w:val="0"/>
          <w:numId w:val="3"/>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 Enmask no almacena datos personales en su repositorio de metadatos (solo configuraciones y llaves cifradas), por lo que no actúa como un "responsable de tratamiento" sino como una herramienta de protección.</w:t>
      </w:r>
    </w:p>
    <w:p w:rsidR="00000000" w:rsidDel="00000000" w:rsidP="00000000" w:rsidRDefault="00000000" w:rsidRPr="00000000" w14:paraId="000001F8">
      <w:pPr>
        <w:numPr>
          <w:ilvl w:val="0"/>
          <w:numId w:val="3"/>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Conclusión Legal: El proyecto es legalmente viable. No existe impedimento normativo para su desarrollo académico, y las funcionalidades implementadas (encriptación, auditoría, control de acceso) son consistentes con las buenas prácticas exigidas por las leyes de protección de datos.</w:t>
      </w:r>
    </w:p>
    <w:p w:rsidR="00000000" w:rsidDel="00000000" w:rsidP="00000000" w:rsidRDefault="00000000" w:rsidRPr="00000000" w14:paraId="000001F9">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spbcuqmxb1op" w:id="38"/>
      <w:bookmarkEnd w:id="38"/>
      <w:r w:rsidDel="00000000" w:rsidR="00000000" w:rsidRPr="00000000">
        <w:rPr>
          <w:rFonts w:ascii="Times New Roman" w:cs="Times New Roman" w:eastAsia="Times New Roman" w:hAnsi="Times New Roman"/>
          <w:rtl w:val="0"/>
        </w:rPr>
        <w:t xml:space="preserve">4.5. Factibilidad Social</w:t>
      </w:r>
    </w:p>
    <w:p w:rsidR="00000000" w:rsidDel="00000000" w:rsidP="00000000" w:rsidRDefault="00000000" w:rsidRPr="00000000" w14:paraId="000001FB">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factibilidad social evalúa la aceptación y el impacto del proyecto en los usuarios y la organización.</w:t>
      </w:r>
    </w:p>
    <w:p w:rsidR="00000000" w:rsidDel="00000000" w:rsidP="00000000" w:rsidRDefault="00000000" w:rsidRPr="00000000" w14:paraId="000001FC">
      <w:pPr>
        <w:pStyle w:val="Heading3"/>
        <w:tabs>
          <w:tab w:val="left" w:leader="none" w:pos="440"/>
          <w:tab w:val="right" w:leader="none" w:pos="8494"/>
        </w:tabs>
        <w:spacing w:after="240" w:before="240" w:line="480" w:lineRule="auto"/>
        <w:rPr/>
      </w:pPr>
      <w:bookmarkStart w:colFirst="0" w:colLast="0" w:name="_heading=h.156fqxn82zk8" w:id="39"/>
      <w:bookmarkEnd w:id="39"/>
      <w:r w:rsidDel="00000000" w:rsidR="00000000" w:rsidRPr="00000000">
        <w:rPr>
          <w:rtl w:val="0"/>
        </w:rPr>
        <w:t xml:space="preserve">Aceptación por parte de los usuarios.</w:t>
      </w:r>
    </w:p>
    <w:p w:rsidR="00000000" w:rsidDel="00000000" w:rsidP="00000000" w:rsidRDefault="00000000" w:rsidRPr="00000000" w14:paraId="000001FD">
      <w:pPr>
        <w:numPr>
          <w:ilvl w:val="0"/>
          <w:numId w:val="19"/>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Desarrolladores/Equipos de TI: Verán un beneficio directo al eliminar la necesidad de mantener scripts de ofuscación manuales. La interfaz unificada para 7 motores reduce la curva de aprendizaje y simplifica su trabajo diario.</w:t>
      </w:r>
    </w:p>
    <w:p w:rsidR="00000000" w:rsidDel="00000000" w:rsidP="00000000" w:rsidRDefault="00000000" w:rsidRPr="00000000" w14:paraId="000001FE">
      <w:pPr>
        <w:numPr>
          <w:ilvl w:val="0"/>
          <w:numId w:val="19"/>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de Bases de Datos (DBAs): El sistema reduce la carga de generar copias manuales y les permite delegar el enmascaramiento al motor, liberando tiempo para tareas de mayor valor.</w:t>
      </w:r>
    </w:p>
    <w:p w:rsidR="00000000" w:rsidDel="00000000" w:rsidP="00000000" w:rsidRDefault="00000000" w:rsidRPr="00000000" w14:paraId="000001FF">
      <w:pPr>
        <w:numPr>
          <w:ilvl w:val="0"/>
          <w:numId w:val="19"/>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Auditores y Oficiales de Cumplimiento: La trazabilidad (AuditLog) y la encriptación física les brindan la seguridad necesaria para certificar que los entornos no productivos cumplen con las normativas.</w:t>
      </w:r>
    </w:p>
    <w:p w:rsidR="00000000" w:rsidDel="00000000" w:rsidP="00000000" w:rsidRDefault="00000000" w:rsidRPr="00000000" w14:paraId="00000200">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Heading3"/>
        <w:tabs>
          <w:tab w:val="left" w:leader="none" w:pos="440"/>
          <w:tab w:val="right" w:leader="none" w:pos="8494"/>
        </w:tabs>
        <w:spacing w:after="240" w:before="240" w:line="480" w:lineRule="auto"/>
        <w:rPr/>
      </w:pPr>
      <w:bookmarkStart w:colFirst="0" w:colLast="0" w:name="_heading=h.6t779858x3jh" w:id="40"/>
      <w:bookmarkEnd w:id="40"/>
      <w:r w:rsidDel="00000000" w:rsidR="00000000" w:rsidRPr="00000000">
        <w:rPr>
          <w:rtl w:val="0"/>
        </w:rPr>
        <w:t xml:space="preserve">Impacto en la organización.</w:t>
      </w:r>
    </w:p>
    <w:p w:rsidR="00000000" w:rsidDel="00000000" w:rsidP="00000000" w:rsidRDefault="00000000" w:rsidRPr="00000000" w14:paraId="00000202">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numPr>
          <w:ilvl w:val="0"/>
          <w:numId w:val="6"/>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 de seguridad: La implementación de Enmask fomenta una cultura de seguridad de datos, sensibilizando a los equipos sobre la importancia de proteger la información sensible desde el origen.</w:t>
      </w:r>
    </w:p>
    <w:p w:rsidR="00000000" w:rsidDel="00000000" w:rsidP="00000000" w:rsidRDefault="00000000" w:rsidRPr="00000000" w14:paraId="00000204">
      <w:pPr>
        <w:numPr>
          <w:ilvl w:val="0"/>
          <w:numId w:val="6"/>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de riesgos: Al minimizar la exposición de datos reales, se reduce significativamente la probabilidad de filtraciones accidentales o maliciosas.</w:t>
      </w:r>
    </w:p>
    <w:p w:rsidR="00000000" w:rsidDel="00000000" w:rsidP="00000000" w:rsidRDefault="00000000" w:rsidRPr="00000000" w14:paraId="00000205">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Style w:val="Heading3"/>
        <w:tabs>
          <w:tab w:val="left" w:leader="none" w:pos="440"/>
          <w:tab w:val="right" w:leader="none" w:pos="8494"/>
        </w:tabs>
        <w:spacing w:after="240" w:before="240" w:line="480" w:lineRule="auto"/>
        <w:rPr/>
      </w:pPr>
      <w:bookmarkStart w:colFirst="0" w:colLast="0" w:name="_heading=h.7w86mh8cpces" w:id="41"/>
      <w:bookmarkEnd w:id="41"/>
      <w:r w:rsidDel="00000000" w:rsidR="00000000" w:rsidRPr="00000000">
        <w:rPr>
          <w:rtl w:val="0"/>
        </w:rPr>
        <w:t xml:space="preserve">Barreras sociales potenciales.</w:t>
      </w:r>
    </w:p>
    <w:p w:rsidR="00000000" w:rsidDel="00000000" w:rsidP="00000000" w:rsidRDefault="00000000" w:rsidRPr="00000000" w14:paraId="00000207">
      <w:pPr>
        <w:numPr>
          <w:ilvl w:val="0"/>
          <w:numId w:val="8"/>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Resistencia al cambio: Algunos equipos pueden mostrarse reacios a abandonar sus scripts personalizados. Se mitiga mediante una capacitación inicial y demostrando la eficiencia del sistema.</w:t>
      </w:r>
    </w:p>
    <w:p w:rsidR="00000000" w:rsidDel="00000000" w:rsidP="00000000" w:rsidRDefault="00000000" w:rsidRPr="00000000" w14:paraId="00000208">
      <w:pPr>
        <w:numPr>
          <w:ilvl w:val="0"/>
          <w:numId w:val="8"/>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confianza en la encriptación: Puede existir temor a perder datos si las llaves se extravían. La implementación del Vault con MASTER_KEY y backups de llaves resuelve esta preocupación.</w:t>
      </w:r>
    </w:p>
    <w:p w:rsidR="00000000" w:rsidDel="00000000" w:rsidP="00000000" w:rsidRDefault="00000000" w:rsidRPr="00000000" w14:paraId="00000209">
      <w:pPr>
        <w:numPr>
          <w:ilvl w:val="0"/>
          <w:numId w:val="8"/>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Conclusión Social: El proyecto es socialmente viable. Los beneficios en términos de reducción de carga operativa, mejora de la seguridad y cumplimiento normativo superan las posibles resistencias iniciales.</w:t>
      </w:r>
    </w:p>
    <w:p w:rsidR="00000000" w:rsidDel="00000000" w:rsidP="00000000" w:rsidRDefault="00000000" w:rsidRPr="00000000" w14:paraId="0000020A">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wkmnyp47vh9u" w:id="42"/>
      <w:bookmarkEnd w:id="42"/>
      <w:r w:rsidDel="00000000" w:rsidR="00000000" w:rsidRPr="00000000">
        <w:rPr>
          <w:rFonts w:ascii="Times New Roman" w:cs="Times New Roman" w:eastAsia="Times New Roman" w:hAnsi="Times New Roman"/>
          <w:rtl w:val="0"/>
        </w:rPr>
        <w:t xml:space="preserve">4.6. Factibilidad Ambiental</w:t>
      </w:r>
    </w:p>
    <w:p w:rsidR="00000000" w:rsidDel="00000000" w:rsidP="00000000" w:rsidRDefault="00000000" w:rsidRPr="00000000" w14:paraId="0000020C">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factibilidad ambiental evalúa el impacto del proyecto en el entorno natural y su sostenibilidad.</w:t>
      </w:r>
    </w:p>
    <w:p w:rsidR="00000000" w:rsidDel="00000000" w:rsidP="00000000" w:rsidRDefault="00000000" w:rsidRPr="00000000" w14:paraId="0000020D">
      <w:pPr>
        <w:pStyle w:val="Heading3"/>
        <w:tabs>
          <w:tab w:val="left" w:leader="none" w:pos="440"/>
          <w:tab w:val="right" w:leader="none" w:pos="8494"/>
        </w:tabs>
        <w:spacing w:after="240" w:before="240" w:line="480" w:lineRule="auto"/>
        <w:rPr/>
      </w:pPr>
      <w:bookmarkStart w:colFirst="0" w:colLast="0" w:name="_heading=h.4n1ek6aqt73q" w:id="43"/>
      <w:bookmarkEnd w:id="43"/>
      <w:r w:rsidDel="00000000" w:rsidR="00000000" w:rsidRPr="00000000">
        <w:rPr>
          <w:rtl w:val="0"/>
        </w:rPr>
        <w:t xml:space="preserve">Consumo de recursos.</w:t>
      </w:r>
    </w:p>
    <w:p w:rsidR="00000000" w:rsidDel="00000000" w:rsidP="00000000" w:rsidRDefault="00000000" w:rsidRPr="00000000" w14:paraId="0000020E">
      <w:pPr>
        <w:numPr>
          <w:ilvl w:val="0"/>
          <w:numId w:val="11"/>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El proyecto se ejecuta en entornos virtualizados (contenedores Docker) y servicios cloud. El uso de instancias bajo demanda optimiza el consumo energético en comparación con servidores físicos dedicados.</w:t>
      </w:r>
    </w:p>
    <w:p w:rsidR="00000000" w:rsidDel="00000000" w:rsidP="00000000" w:rsidRDefault="00000000" w:rsidRPr="00000000" w14:paraId="0000020F">
      <w:pPr>
        <w:numPr>
          <w:ilvl w:val="0"/>
          <w:numId w:val="11"/>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Al eliminar copias duplicadas de bases de datos completas (gracias al enmascaramiento in-situ), se reduce el espacio en disco necesario y, por ende, la energía requerida para mantener discos girando en centros de datos.</w:t>
      </w:r>
    </w:p>
    <w:p w:rsidR="00000000" w:rsidDel="00000000" w:rsidP="00000000" w:rsidRDefault="00000000" w:rsidRPr="00000000" w14:paraId="00000210">
      <w:pPr>
        <w:numPr>
          <w:ilvl w:val="0"/>
          <w:numId w:val="11"/>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de transferencia de datos: Al delegar el procesamiento al motor de BD, se evita mover terabytes de datos a través de la red, reduciendo el consumo de ancho de banda y la huella de carbono asociada a la infraestructura de red.</w:t>
      </w:r>
    </w:p>
    <w:p w:rsidR="00000000" w:rsidDel="00000000" w:rsidP="00000000" w:rsidRDefault="00000000" w:rsidRPr="00000000" w14:paraId="00000211">
      <w:pPr>
        <w:tabs>
          <w:tab w:val="left" w:leader="none" w:pos="440"/>
          <w:tab w:val="right" w:leader="none" w:pos="8494"/>
        </w:tabs>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pStyle w:val="Heading3"/>
        <w:tabs>
          <w:tab w:val="left" w:leader="none" w:pos="440"/>
          <w:tab w:val="right" w:leader="none" w:pos="8494"/>
        </w:tabs>
        <w:spacing w:after="240" w:before="240" w:line="480" w:lineRule="auto"/>
        <w:rPr/>
      </w:pPr>
      <w:bookmarkStart w:colFirst="0" w:colLast="0" w:name="_heading=h.sc4j0du68lwb" w:id="44"/>
      <w:bookmarkEnd w:id="44"/>
      <w:r w:rsidDel="00000000" w:rsidR="00000000" w:rsidRPr="00000000">
        <w:rPr>
          <w:rtl w:val="0"/>
        </w:rPr>
        <w:t xml:space="preserve">Sostenibilidad y buenas prácticas.</w:t>
      </w:r>
    </w:p>
    <w:p w:rsidR="00000000" w:rsidDel="00000000" w:rsidP="00000000" w:rsidRDefault="00000000" w:rsidRPr="00000000" w14:paraId="00000213">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numPr>
          <w:ilvl w:val="0"/>
          <w:numId w:val="9"/>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eficiente: El uso de funciones nativas de los motores (PL/pgSQL, Lua, etc.) es energéticamente más eficiente que procesar en Python, ya que se aprovecha la optimización interna del motor de base de datos.</w:t>
      </w:r>
    </w:p>
    <w:p w:rsidR="00000000" w:rsidDel="00000000" w:rsidP="00000000" w:rsidRDefault="00000000" w:rsidRPr="00000000" w14:paraId="00000215">
      <w:pPr>
        <w:numPr>
          <w:ilvl w:val="0"/>
          <w:numId w:val="9"/>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Reciclaje tecnológico: Al utilizar software de código abierto, se evita la obsolescencia programada y se promueve el uso de herramientas que pueden ser mantenidas por la comunidad a largo plazo.</w:t>
      </w:r>
    </w:p>
    <w:p w:rsidR="00000000" w:rsidDel="00000000" w:rsidP="00000000" w:rsidRDefault="00000000" w:rsidRPr="00000000" w14:paraId="00000216">
      <w:pPr>
        <w:pStyle w:val="Heading3"/>
        <w:tabs>
          <w:tab w:val="left" w:leader="none" w:pos="440"/>
          <w:tab w:val="right" w:leader="none" w:pos="8494"/>
        </w:tabs>
        <w:spacing w:after="240" w:before="240" w:line="480" w:lineRule="auto"/>
        <w:rPr/>
      </w:pPr>
      <w:bookmarkStart w:colFirst="0" w:colLast="0" w:name="_heading=h.gl521vo26ja0" w:id="45"/>
      <w:bookmarkEnd w:id="45"/>
      <w:r w:rsidDel="00000000" w:rsidR="00000000" w:rsidRPr="00000000">
        <w:rPr>
          <w:rtl w:val="0"/>
        </w:rPr>
        <w:t xml:space="preserve">Evaluación de impacto.</w:t>
      </w:r>
    </w:p>
    <w:p w:rsidR="00000000" w:rsidDel="00000000" w:rsidP="00000000" w:rsidRDefault="00000000" w:rsidRPr="00000000" w14:paraId="00000217">
      <w:pPr>
        <w:numPr>
          <w:ilvl w:val="0"/>
          <w:numId w:val="14"/>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positivo: Reducción del uso de almacenamiento y ancho de banda.</w:t>
      </w:r>
    </w:p>
    <w:p w:rsidR="00000000" w:rsidDel="00000000" w:rsidP="00000000" w:rsidRDefault="00000000" w:rsidRPr="00000000" w14:paraId="00000218">
      <w:pPr>
        <w:numPr>
          <w:ilvl w:val="0"/>
          <w:numId w:val="14"/>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negativo: El uso de servicios cloud implica que la energía proviene de centros de datos, cuyo impacto ambiental depende de la fuente de energía (renovable o fósil). Sin embargo, al ser un proyecto académico de pequeña escala, el consumo es insignificante.</w:t>
      </w:r>
    </w:p>
    <w:p w:rsidR="00000000" w:rsidDel="00000000" w:rsidP="00000000" w:rsidRDefault="00000000" w:rsidRPr="00000000" w14:paraId="00000219">
      <w:pPr>
        <w:numPr>
          <w:ilvl w:val="0"/>
          <w:numId w:val="14"/>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Conclusión Ambiental: El proyecto es ambientalmente viable. Su diseño optimiza el uso de recursos y reduce la huella de carbono en comparación con los enfoques tradicionales de copia y procesamiento externo.</w:t>
      </w:r>
    </w:p>
    <w:p w:rsidR="00000000" w:rsidDel="00000000" w:rsidP="00000000" w:rsidRDefault="00000000" w:rsidRPr="00000000" w14:paraId="0000021A">
      <w:pPr>
        <w:pStyle w:val="Heading1"/>
        <w:tabs>
          <w:tab w:val="left" w:leader="none" w:pos="440"/>
          <w:tab w:val="right" w:leader="none" w:pos="8494"/>
        </w:tabs>
        <w:spacing w:line="480" w:lineRule="auto"/>
        <w:rPr/>
      </w:pPr>
      <w:bookmarkStart w:colFirst="0" w:colLast="0" w:name="_heading=h.8u9urune4rxi" w:id="46"/>
      <w:bookmarkEnd w:id="46"/>
      <w:r w:rsidDel="00000000" w:rsidR="00000000" w:rsidRPr="00000000">
        <w:rPr>
          <w:rtl w:val="0"/>
        </w:rPr>
        <w:t xml:space="preserve">5. Análisis Financiero</w:t>
      </w:r>
    </w:p>
    <w:p w:rsidR="00000000" w:rsidDel="00000000" w:rsidP="00000000" w:rsidRDefault="00000000" w:rsidRPr="00000000" w14:paraId="0000021B">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financiero consolida los costos y beneficios del proyecto Enmask v2.0, permitiendo determinar su viabilidad económica desde una perspectiva integral. Este análisis se estructura en tres componentes: Inversión Inicial, Costos Operativos y Beneficios Proyectados, seguido de los indicadores financieros que permiten tomar una decisión fundamentada.</w:t>
      </w:r>
    </w:p>
    <w:p w:rsidR="00000000" w:rsidDel="00000000" w:rsidP="00000000" w:rsidRDefault="00000000" w:rsidRPr="00000000" w14:paraId="0000021C">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a2mtl77wihv6" w:id="47"/>
      <w:bookmarkEnd w:id="47"/>
      <w:r w:rsidDel="00000000" w:rsidR="00000000" w:rsidRPr="00000000">
        <w:rPr>
          <w:rFonts w:ascii="Times New Roman" w:cs="Times New Roman" w:eastAsia="Times New Roman" w:hAnsi="Times New Roman"/>
          <w:rtl w:val="0"/>
        </w:rPr>
        <w:t xml:space="preserve">5.1. Inversión Inicial (CAPEX)</w:t>
      </w:r>
    </w:p>
    <w:p w:rsidR="00000000" w:rsidDel="00000000" w:rsidP="00000000" w:rsidRDefault="00000000" w:rsidRPr="00000000" w14:paraId="0000021D">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inversión inicial comprende todos los gastos necesarios para desarrollar y poner en marcha el sistema. En el contexto universitario, estos costos son mínimos debido al uso de herramientas gratuitas y licencias académicas.</w:t>
      </w:r>
    </w:p>
    <w:sdt>
      <w:sdtPr>
        <w:lock w:val="contentLocked"/>
        <w:id w:val="1163504037"/>
        <w:tag w:val="goog_rdk_8"/>
      </w:sdtPr>
      <w:sdtContent>
        <w:tbl>
          <w:tblPr>
            <w:tblStyle w:val="Table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600"/>
            <w:gridCol w:w="1335"/>
            <w:gridCol w:w="1410"/>
            <w:tblGridChange w:id="0">
              <w:tblGrid>
                <w:gridCol w:w="2115"/>
                <w:gridCol w:w="3600"/>
                <w:gridCol w:w="1335"/>
                <w:gridCol w:w="141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(USD)</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en la nube con créditos gratuitos (AWS Educate, Azure for Students). Incluye instancias para backend, frontend y bases de datos de prueba durante 4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MySQL, SQL Server, MongoDB, Cassandra, Redis, Neo4j (versiones comunitarias o de desarrollo gratuitas).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Docker Desktop, Git, GitHub (todas gratuitas).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Licencias de SQL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Developer Edition (gratuita para fines académicos).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y Capacitación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en línea (documentación oficial, tutoriales, videos) gratuitos.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Imprevistos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Margen de seguridad para contingencias (ej. almacenamiento 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INVERSIÓN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37</w:t>
                </w:r>
              </w:p>
            </w:tc>
          </w:tr>
        </w:tbl>
      </w:sdtContent>
    </w:sdt>
    <w:p w:rsidR="00000000" w:rsidDel="00000000" w:rsidP="00000000" w:rsidRDefault="00000000" w:rsidRPr="00000000" w14:paraId="0000023E">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l2262olrsksv" w:id="48"/>
      <w:bookmarkEnd w:id="48"/>
      <w:r w:rsidDel="00000000" w:rsidR="00000000" w:rsidRPr="00000000">
        <w:rPr>
          <w:rFonts w:ascii="Times New Roman" w:cs="Times New Roman" w:eastAsia="Times New Roman" w:hAnsi="Times New Roman"/>
          <w:rtl w:val="0"/>
        </w:rPr>
        <w:t xml:space="preserve">5.2. Costos Operativos (OPEX)</w:t>
      </w:r>
    </w:p>
    <w:p w:rsidR="00000000" w:rsidDel="00000000" w:rsidP="00000000" w:rsidRDefault="00000000" w:rsidRPr="00000000" w14:paraId="0000023F">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período de desarrollo (1 1/5 meses), los costos operativos son prácticamente nulos, ya que los servicios en la nube se mantienen dentro de los créditos gratuitos.</w:t>
      </w:r>
    </w:p>
    <w:p w:rsidR="00000000" w:rsidDel="00000000" w:rsidP="00000000" w:rsidRDefault="00000000" w:rsidRPr="00000000" w14:paraId="00000240">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sdt>
      <w:sdtPr>
        <w:lock w:val="contentLocked"/>
        <w:id w:val="870278970"/>
        <w:tag w:val="goog_rdk_9"/>
      </w:sdtPr>
      <w:sdtContent>
        <w:tbl>
          <w:tblPr>
            <w:tblStyle w:val="Table1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435"/>
            <w:gridCol w:w="1635"/>
            <w:gridCol w:w="1605"/>
            <w:tblGridChange w:id="0">
              <w:tblGrid>
                <w:gridCol w:w="1785"/>
                <w:gridCol w:w="3435"/>
                <w:gridCol w:w="1635"/>
                <w:gridCol w:w="160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Mensual (USD)</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Total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Instancias ligeras para backend y frontend (ej. t2.micro en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para backups y bases de datos de prueba (estimado 10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requiere para el ámbito académico.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COSTOS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bl>
      </w:sdtContent>
    </w:sdt>
    <w:p w:rsidR="00000000" w:rsidDel="00000000" w:rsidP="00000000" w:rsidRDefault="00000000" w:rsidRPr="00000000" w14:paraId="00000255">
      <w:pPr>
        <w:pStyle w:val="Heading2"/>
        <w:tabs>
          <w:tab w:val="left" w:leader="none" w:pos="440"/>
          <w:tab w:val="right" w:leader="none" w:pos="8494"/>
        </w:tabs>
        <w:spacing w:line="480" w:lineRule="auto"/>
        <w:rPr>
          <w:rFonts w:ascii="Times New Roman" w:cs="Times New Roman" w:eastAsia="Times New Roman" w:hAnsi="Times New Roman"/>
        </w:rPr>
      </w:pPr>
      <w:bookmarkStart w:colFirst="0" w:colLast="0" w:name="_heading=h.ojaclsf344s1" w:id="49"/>
      <w:bookmarkEnd w:id="49"/>
      <w:r w:rsidDel="00000000" w:rsidR="00000000" w:rsidRPr="00000000">
        <w:rPr>
          <w:rFonts w:ascii="Times New Roman" w:cs="Times New Roman" w:eastAsia="Times New Roman" w:hAnsi="Times New Roman"/>
          <w:rtl w:val="0"/>
        </w:rPr>
        <w:t xml:space="preserve">5.3. Beneficios Proyectados</w:t>
      </w:r>
    </w:p>
    <w:p w:rsidR="00000000" w:rsidDel="00000000" w:rsidP="00000000" w:rsidRDefault="00000000" w:rsidRPr="00000000" w14:paraId="00000256">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académico, los beneficios no se expresan en ingresos monetarios, sino en el valor obtenido en términos de aprendizaje, cumplimiento de objetivos del curso y desarrollo de competencias profesionales.</w:t>
      </w:r>
    </w:p>
    <w:sdt>
      <w:sdtPr>
        <w:lock w:val="contentLocked"/>
        <w:id w:val="201437057"/>
        <w:tag w:val="goog_rdk_10"/>
      </w:sdtPr>
      <w:sdtContent>
        <w:tbl>
          <w:tblPr>
            <w:tblStyle w:val="Table1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170"/>
            <w:gridCol w:w="2490"/>
            <w:tblGridChange w:id="0">
              <w:tblGrid>
                <w:gridCol w:w="1800"/>
                <w:gridCol w:w="4170"/>
                <w:gridCol w:w="249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permite alcanzar los objetivos del curso de Bases de Datos 2, obteniendo una calificación aprobatoria.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Aprobación del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de 7 motores de bases de datos, encriptación simétrica, arquitectura de software, desarrollo full-stack (FastAPI +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valor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Portafolio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Enmask puede ser incluido en el portafolio del estudiante como evidencia de habilidades técnicas avanzadas.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Ventaja competitiva en el mercado laboral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 en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Comprensión práctica de normativas de protección de datos (GDPR, PCI-DSS) y técnicas de enmascaramiento y encriptación.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diferenciadora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Ahorro de 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entorno real, la automatización del enmascaramiento ahorraría aproximadamente 13 horas semanales entre DBAs y desarrolladores.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equivalente: ~$30,000 anuales (proyección empresarial)</w:t>
                </w:r>
              </w:p>
            </w:tc>
          </w:tr>
        </w:tbl>
      </w:sdtContent>
    </w:sdt>
    <w:p w:rsidR="00000000" w:rsidDel="00000000" w:rsidP="00000000" w:rsidRDefault="00000000" w:rsidRPr="00000000" w14:paraId="00000269">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ydwgfpgifg64" w:id="50"/>
      <w:bookmarkEnd w:id="50"/>
      <w:r w:rsidDel="00000000" w:rsidR="00000000" w:rsidRPr="00000000">
        <w:rPr>
          <w:rFonts w:ascii="Times New Roman" w:cs="Times New Roman" w:eastAsia="Times New Roman" w:hAnsi="Times New Roman"/>
          <w:rtl w:val="0"/>
        </w:rPr>
        <w:t xml:space="preserve">5.4. Indicadores Financieros</w:t>
      </w:r>
    </w:p>
    <w:p w:rsidR="00000000" w:rsidDel="00000000" w:rsidP="00000000" w:rsidRDefault="00000000" w:rsidRPr="00000000" w14:paraId="0000026A">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indicadores financieros que evalúan la rentabilidad del proyecto:</w:t>
      </w:r>
    </w:p>
    <w:sdt>
      <w:sdtPr>
        <w:lock w:val="contentLocked"/>
        <w:id w:val="1152228966"/>
        <w:tag w:val="goog_rdk_11"/>
      </w:sdtPr>
      <w:sdtContent>
        <w:tbl>
          <w:tblPr>
            <w:tblStyle w:val="Table1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025"/>
            <w:gridCol w:w="1965"/>
            <w:gridCol w:w="2760"/>
            <w:tblGridChange w:id="0">
              <w:tblGrid>
                <w:gridCol w:w="1710"/>
                <w:gridCol w:w="2025"/>
                <w:gridCol w:w="1965"/>
                <w:gridCol w:w="2760"/>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Fórmula</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Inversión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todos los costos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Inversión mínima, accesible para cualquier equipo estudiantil.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Retorno de Inversión (ROI)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 Neto - Inversión) / Inversión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aplica (beneficio cualitativo)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obtenido (conocimiento, aprobación del curso, portafolio) supera ampliamente la inversión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Periodo de Recuperación (Payback)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Inversión / Beneficio Neto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Inmediato (1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inversión se recupera prácticamente en el primer mes de desarrollo, dado que los costos son mínimos.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Costo-Beneficio (Cualitativo)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Académico / Inversión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genera un valor académico y profesional significativo en comparación con su costo casi nulo.</w:t>
                </w:r>
              </w:p>
            </w:tc>
          </w:tr>
        </w:tbl>
      </w:sdtContent>
    </w:sdt>
    <w:p w:rsidR="00000000" w:rsidDel="00000000" w:rsidP="00000000" w:rsidRDefault="00000000" w:rsidRPr="00000000" w14:paraId="0000027F">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u25o03ew6hi6" w:id="51"/>
      <w:bookmarkEnd w:id="51"/>
      <w:r w:rsidDel="00000000" w:rsidR="00000000" w:rsidRPr="00000000">
        <w:rPr>
          <w:rFonts w:ascii="Times New Roman" w:cs="Times New Roman" w:eastAsia="Times New Roman" w:hAnsi="Times New Roman"/>
          <w:rtl w:val="0"/>
        </w:rPr>
        <w:t xml:space="preserve">5.5. Análisis de Sensibilidad</w:t>
      </w:r>
    </w:p>
    <w:p w:rsidR="00000000" w:rsidDel="00000000" w:rsidP="00000000" w:rsidRDefault="00000000" w:rsidRPr="00000000" w14:paraId="00000281">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los costos son prácticamente nulos, el proyecto es extremadamente robusto ante variaciones. Incluso en el peor escenario (donde se requiera pagar por servicios cloud por exceder los créditos gratuitos), el costo adicional no superaría los $50 (S/ 185). En este caso:</w:t>
      </w:r>
    </w:p>
    <w:sdt>
      <w:sdtPr>
        <w:lock w:val="contentLocked"/>
        <w:id w:val="1852804648"/>
        <w:tag w:val="goog_rdk_12"/>
      </w:sdtPr>
      <w:sdtContent>
        <w:tbl>
          <w:tblPr>
            <w:tblStyle w:val="Table1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455"/>
            <w:gridCol w:w="2655"/>
            <w:gridCol w:w="2235"/>
            <w:tblGridChange w:id="0">
              <w:tblGrid>
                <w:gridCol w:w="2115"/>
                <w:gridCol w:w="1455"/>
                <w:gridCol w:w="2655"/>
                <w:gridCol w:w="2235"/>
              </w:tblGrid>
            </w:tblGridChange>
          </w:tblGrid>
          <w:tr>
            <w:trPr>
              <w:cantSplit w:val="0"/>
              <w:tblHeader w:val="0"/>
            </w:trPr>
            <w:tc>
              <w:tcPr>
                <w:shd w:fill="76a5af"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Escenario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Total</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ROI Estimado</w:t>
                </w:r>
              </w:p>
            </w:tc>
            <w:tc>
              <w:tcPr>
                <w:shd w:fill="76a5af"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académico 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académico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Pesimista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(S/ 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académico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r>
        </w:tbl>
      </w:sdtContent>
    </w:sdt>
    <w:p w:rsidR="00000000" w:rsidDel="00000000" w:rsidP="00000000" w:rsidRDefault="00000000" w:rsidRPr="00000000" w14:paraId="00000292">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Incluso en el escenario pesimista, el proyecto sigue siendo viable, ya que el valor académico y profesional obtenido justifica ampliamente la inversión.</w:t>
      </w:r>
    </w:p>
    <w:p w:rsidR="00000000" w:rsidDel="00000000" w:rsidP="00000000" w:rsidRDefault="00000000" w:rsidRPr="00000000" w14:paraId="00000293">
      <w:pPr>
        <w:pStyle w:val="Heading2"/>
        <w:tabs>
          <w:tab w:val="left" w:leader="none" w:pos="440"/>
          <w:tab w:val="right" w:leader="none" w:pos="8494"/>
        </w:tabs>
        <w:spacing w:after="240" w:before="240" w:line="480" w:lineRule="auto"/>
        <w:rPr>
          <w:rFonts w:ascii="Times New Roman" w:cs="Times New Roman" w:eastAsia="Times New Roman" w:hAnsi="Times New Roman"/>
        </w:rPr>
      </w:pPr>
      <w:bookmarkStart w:colFirst="0" w:colLast="0" w:name="_heading=h.e3o7mwrg0x4x" w:id="52"/>
      <w:bookmarkEnd w:id="52"/>
      <w:r w:rsidDel="00000000" w:rsidR="00000000" w:rsidRPr="00000000">
        <w:rPr>
          <w:rFonts w:ascii="Times New Roman" w:cs="Times New Roman" w:eastAsia="Times New Roman" w:hAnsi="Times New Roman"/>
          <w:rtl w:val="0"/>
        </w:rPr>
        <w:t xml:space="preserve">5.6. Conclusión del Análisis Financiero</w:t>
      </w:r>
    </w:p>
    <w:p w:rsidR="00000000" w:rsidDel="00000000" w:rsidP="00000000" w:rsidRDefault="00000000" w:rsidRPr="00000000" w14:paraId="00000294">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Enmask v2.0 es financieramente viable en el contexto universitario. Los costos directos son mínimos (inferiores a $10 dólares o S/ 37 soles) gracias al uso de herramientas gratuitas, licencias académicas y servicios cloud con créditos para estudiantes. El principal recurso requerido es el tiempo y dedicación del equipo, el cual está dentro de las capacidades de un grupo de estudiantes universitarios comprometidos.</w:t>
      </w:r>
    </w:p>
    <w:p w:rsidR="00000000" w:rsidDel="00000000" w:rsidP="00000000" w:rsidRDefault="00000000" w:rsidRPr="00000000" w14:paraId="00000295">
      <w:pPr>
        <w:tabs>
          <w:tab w:val="left" w:leader="none" w:pos="440"/>
          <w:tab w:val="right" w:leader="none" w:pos="8494"/>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obtenido —en términos de aprendizaje, cumplimiento del curso de Bases de Datos 2, desarrollo de competencias técnicas en 7 motores de bases de datos y construcción de un portafolio profesional— supera ampliamente la inversión requerida. El proyecto no solo es factible, sino altamente recomendable desde una perspectiva académica y de desarrollo profesional.</w:t>
      </w:r>
    </w:p>
    <w:p w:rsidR="00000000" w:rsidDel="00000000" w:rsidP="00000000" w:rsidRDefault="00000000" w:rsidRPr="00000000" w14:paraId="00000296">
      <w:pPr>
        <w:pStyle w:val="Heading1"/>
        <w:tabs>
          <w:tab w:val="left" w:leader="none" w:pos="440"/>
          <w:tab w:val="right" w:leader="none" w:pos="8494"/>
        </w:tabs>
        <w:spacing w:line="480" w:lineRule="auto"/>
        <w:rPr>
          <w:rFonts w:ascii="Times New Roman" w:cs="Times New Roman" w:eastAsia="Times New Roman" w:hAnsi="Times New Roman"/>
        </w:rPr>
      </w:pPr>
      <w:bookmarkStart w:colFirst="0" w:colLast="0" w:name="_heading=h.hyeauhejdq47" w:id="53"/>
      <w:bookmarkEnd w:id="53"/>
      <w:r w:rsidDel="00000000" w:rsidR="00000000" w:rsidRPr="00000000">
        <w:rPr>
          <w:rFonts w:ascii="Times New Roman" w:cs="Times New Roman" w:eastAsia="Times New Roman" w:hAnsi="Times New Roman"/>
          <w:rtl w:val="0"/>
        </w:rPr>
        <w:t xml:space="preserve">6. Conclusiones</w:t>
      </w:r>
    </w:p>
    <w:p w:rsidR="00000000" w:rsidDel="00000000" w:rsidP="00000000" w:rsidRDefault="00000000" w:rsidRPr="00000000" w14:paraId="00000297">
      <w:pPr>
        <w:numPr>
          <w:ilvl w:val="0"/>
          <w:numId w:val="12"/>
        </w:numPr>
        <w:tabs>
          <w:tab w:val="left" w:leader="none" w:pos="440"/>
          <w:tab w:val="right" w:leader="none" w:pos="8494"/>
        </w:tabs>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realizado demuestra que el Sistema de Enmascaramiento de Datos y Monitoreo de Rendimiento es una solución viable para la protección de información sensible y la supervisión de infraestructura tecnológica.</w:t>
      </w:r>
    </w:p>
    <w:p w:rsidR="00000000" w:rsidDel="00000000" w:rsidP="00000000" w:rsidRDefault="00000000" w:rsidRPr="00000000" w14:paraId="00000298">
      <w:pPr>
        <w:numPr>
          <w:ilvl w:val="0"/>
          <w:numId w:val="1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técnico, se cuenta con las herramientas, tecnologías y conocimientos necesarios para desarrollar e implementar el sistema de manera eficiente.</w:t>
      </w:r>
    </w:p>
    <w:p w:rsidR="00000000" w:rsidDel="00000000" w:rsidP="00000000" w:rsidRDefault="00000000" w:rsidRPr="00000000" w14:paraId="00000299">
      <w:pPr>
        <w:numPr>
          <w:ilvl w:val="0"/>
          <w:numId w:val="1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económica y financiera evidencia que los costos de desarrollo e implementación son bajos debido al uso de tecnologías de código abierto, lo que favorece la viabilidad del proyecto.</w:t>
      </w:r>
    </w:p>
    <w:p w:rsidR="00000000" w:rsidDel="00000000" w:rsidP="00000000" w:rsidRDefault="00000000" w:rsidRPr="00000000" w14:paraId="0000029A">
      <w:pPr>
        <w:numPr>
          <w:ilvl w:val="0"/>
          <w:numId w:val="1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Operativamente, el sistema puede ser utilizado sin dificultades significativas por los usuarios, gracias a su interfaz intuitiva y a la mínima capacitación requerida para su utilización.</w:t>
      </w:r>
    </w:p>
    <w:p w:rsidR="00000000" w:rsidDel="00000000" w:rsidP="00000000" w:rsidRDefault="00000000" w:rsidRPr="00000000" w14:paraId="0000029B">
      <w:pPr>
        <w:numPr>
          <w:ilvl w:val="0"/>
          <w:numId w:val="1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aspecto legal, la solución contribuye a la protección de datos sensibles y utiliza tecnologías que cuentan con licencias válidas para su uso académico y profesional.</w:t>
      </w:r>
    </w:p>
    <w:p w:rsidR="00000000" w:rsidDel="00000000" w:rsidP="00000000" w:rsidRDefault="00000000" w:rsidRPr="00000000" w14:paraId="0000029C">
      <w:pPr>
        <w:numPr>
          <w:ilvl w:val="0"/>
          <w:numId w:val="1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social, el proyecto promueve una mayor cultura de seguridad informática, fortalece la protección de la información y aporta una herramienta útil para actividades académicas y de investigación.</w:t>
      </w:r>
    </w:p>
    <w:p w:rsidR="00000000" w:rsidDel="00000000" w:rsidP="00000000" w:rsidRDefault="00000000" w:rsidRPr="00000000" w14:paraId="0000029D">
      <w:pPr>
        <w:numPr>
          <w:ilvl w:val="0"/>
          <w:numId w:val="1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ambiental del sistema es mínimo, ya que su funcionamiento se basa principalmente en procesos digitales, contribuyendo a la reducción del uso de papel y a la optimización de recursos tecnológicos.</w:t>
      </w:r>
    </w:p>
    <w:p w:rsidR="00000000" w:rsidDel="00000000" w:rsidP="00000000" w:rsidRDefault="00000000" w:rsidRPr="00000000" w14:paraId="0000029E">
      <w:pPr>
        <w:numPr>
          <w:ilvl w:val="0"/>
          <w:numId w:val="12"/>
        </w:numPr>
        <w:tabs>
          <w:tab w:val="left" w:leader="none" w:pos="440"/>
          <w:tab w:val="right" w:leader="none" w:pos="8494"/>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mecanismos de enmascaramiento de datos y monitoreo de rendimiento en una sola plataforma permite evaluar el equilibrio entre seguridad y eficiencia, facilitando la toma de decisiones relacionadas con la gestión de información y la infraestructura tecnológica.</w:t>
      </w:r>
    </w:p>
    <w:p w:rsidR="00000000" w:rsidDel="00000000" w:rsidP="00000000" w:rsidRDefault="00000000" w:rsidRPr="00000000" w14:paraId="0000029F">
      <w:pPr>
        <w:numPr>
          <w:ilvl w:val="0"/>
          <w:numId w:val="12"/>
        </w:numPr>
        <w:tabs>
          <w:tab w:val="left" w:leader="none" w:pos="440"/>
          <w:tab w:val="right" w:leader="none" w:pos="8494"/>
        </w:tabs>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proyecto resulta factible desde los puntos de vista técnico, económico, operativo, legal, social y ambiental, por lo que se recomienda su implementación y utilización como herramienta de apoyo para la protección de datos y el análisis de rendimiento en entornos informáticos.</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Rule="auto"/>
        <w:ind w:left="0" w:firstLine="0"/>
        <w:jc w:val="both"/>
        <w:rPr>
          <w:rFonts w:ascii="Arial" w:cs="Arial" w:eastAsia="Arial" w:hAnsi="Arial"/>
          <w:b w:val="1"/>
          <w:bCs w:val="1"/>
        </w:rPr>
      </w:pPr>
      <w:bookmarkStart w:colFirst="0" w:colLast="0" w:name="_heading=h.dih6c0h8pgxv" w:id="54"/>
      <w:bookmarkEnd w:id="54"/>
      <w:r w:rsidDel="00000000" w:rsidR="00000000" w:rsidRPr="00000000">
        <w:rPr>
          <w:rtl w:val="0"/>
        </w:rPr>
      </w:r>
    </w:p>
    <w:sectPr>
      <w:headerReference r:id="rId8" w:type="default"/>
      <w:footerReference r:id="rId9" w:type="default"/>
      <w:pgSz w:h="16838" w:w="11906" w:orient="portrait"/>
      <w:pgMar w:bottom="1417" w:top="1417" w:left="1700.787401574802"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widowControl w:val="0"/>
      <w:spacing w:after="0" w:line="276"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-295274</wp:posOffset>
          </wp:positionV>
          <wp:extent cx="400050" cy="400050"/>
          <wp:effectExtent b="0" l="0" r="0" t="0"/>
          <wp:wrapSquare wrapText="bothSides" distB="114300" distT="114300" distL="114300" distR="114300"/>
          <wp:docPr id="2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00050"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5076825</wp:posOffset>
          </wp:positionH>
          <wp:positionV relativeFrom="paragraph">
            <wp:posOffset>-295273</wp:posOffset>
          </wp:positionV>
          <wp:extent cx="402907" cy="402907"/>
          <wp:effectExtent b="0" l="0" r="0" t="0"/>
          <wp:wrapSquare wrapText="bothSides" distB="114300" distT="114300" distL="114300" distR="114300"/>
          <wp:docPr id="2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402907" cy="402907"/>
                  </a:xfrm>
                  <a:prstGeom prst="rect"/>
                  <a:ln/>
                </pic:spPr>
              </pic:pic>
            </a:graphicData>
          </a:graphic>
        </wp:anchor>
      </w:drawing>
    </w:r>
  </w:p>
  <w:p w:rsidR="00000000" w:rsidDel="00000000" w:rsidP="00000000" w:rsidRDefault="00000000" w:rsidRPr="00000000" w14:paraId="000002A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440"/>
        <w:tab w:val="right" w:leader="none" w:pos="8494"/>
      </w:tabs>
      <w:spacing w:after="120" w:before="480" w:lineRule="auto"/>
    </w:pPr>
    <w:rPr>
      <w:b w:val="1"/>
      <w:bCs w:val="1"/>
      <w:sz w:val="28"/>
      <w:szCs w:val="28"/>
    </w:rPr>
  </w:style>
  <w:style w:type="paragraph" w:styleId="Heading2">
    <w:name w:val="heading 2"/>
    <w:basedOn w:val="Normal"/>
    <w:next w:val="Normal"/>
    <w:pPr>
      <w:keepNext w:val="1"/>
      <w:keepLines w:val="1"/>
      <w:tabs>
        <w:tab w:val="left" w:leader="none" w:pos="440"/>
        <w:tab w:val="right" w:leader="none" w:pos="8494"/>
      </w:tabs>
      <w:spacing w:after="240" w:before="240" w:lineRule="auto"/>
    </w:pPr>
    <w:rPr>
      <w:b w:val="1"/>
      <w:bCs w:val="1"/>
    </w:rPr>
  </w:style>
  <w:style w:type="paragraph" w:styleId="Heading3">
    <w:name w:val="heading 3"/>
    <w:basedOn w:val="Normal"/>
    <w:next w:val="Normal"/>
    <w:pPr>
      <w:keepNext w:val="1"/>
      <w:keepLines w:val="1"/>
      <w:tabs>
        <w:tab w:val="left" w:leader="none" w:pos="440"/>
        <w:tab w:val="right" w:leader="none" w:pos="8494"/>
      </w:tabs>
      <w:spacing w:after="80" w:before="280" w:lineRule="auto"/>
    </w:pPr>
    <w:rPr>
      <w:b w:val="1"/>
      <w:bCs w:val="1"/>
      <w:sz w:val="20"/>
      <w:szCs w:val="20"/>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Default" w:customStyle="1">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uiPriority w:val="9"/>
    <w:rsid w:val="004C3A42"/>
    <w:rPr>
      <w:rFonts w:asciiTheme="majorHAnsi" w:cstheme="majorBidi" w:eastAsiaTheme="majorEastAsia" w:hAnsiTheme="majorHAnsi"/>
      <w:color w:val="2e74b5" w:themeColor="accent1" w:themeShade="0000BF"/>
      <w:sz w:val="32"/>
      <w:szCs w:val="32"/>
    </w:rPr>
  </w:style>
  <w:style w:type="paragraph" w:styleId="TtuloTDC">
    <w:name w:val="TOC Heading"/>
    <w:next w:val="Normal"/>
    <w:uiPriority w:val="39"/>
    <w:unhideWhenUsed w:val="1"/>
    <w:qFormat w:val="1"/>
    <w:rsid w:val="004C3A42"/>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apple-tab-span" w:customStyle="1">
    <w:name w:val="apple-tab-span"/>
    <w:basedOn w:val="Fuentedeprrafopredeter"/>
    <w:rsid w:val="00D55729"/>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2qtfu6C6k0cB9q0JkVXHaGX4w==">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