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Maud</w:t>
      </w:r>
      <w:r>
        <w:t xml:space="preserve"> </w:t>
      </w:r>
      <w:r>
        <w:t xml:space="preserve">Bernard-Verdier</w:t>
      </w:r>
    </w:p>
    <w:p>
      <w:pPr>
        <w:pStyle w:val="Date"/>
      </w:pPr>
      <w:r>
        <w:t xml:space="preserve">4/18/2020</w:t>
      </w:r>
    </w:p>
    <w:p>
      <w:pPr>
        <w:pStyle w:val="FirstParagraph"/>
      </w:pPr>
      <w:r>
        <w:t xml:space="preserve">The following example replicates the first case study included in the article by Schittko, Bernard-verdier et al., published in Global Change Biology in 2020.</w:t>
      </w:r>
    </w:p>
    <w:p>
      <w:pPr>
        <w:pStyle w:val="BodyText"/>
      </w:pPr>
      <w:r>
        <w:t xml:space="preserve">The Biotic Novelty Index (BNI) of 56 grassland commmunities in Berlin was evaluated based on vegetation surveys, and results were presented in</w:t>
      </w:r>
      <w:r>
        <w:t xml:space="preserve"> </w:t>
      </w:r>
      <w:r>
        <w:rPr>
          <w:b/>
        </w:rPr>
        <w:t xml:space="preserve">Figure 4</w:t>
      </w:r>
      <w:r>
        <w:t xml:space="preserve">, replicated below.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'BNI function.R'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"data/berlin.rda"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BNI.calc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 =</w:t>
      </w:r>
      <w:r>
        <w:rPr>
          <w:rStyle w:val="NormalTok"/>
        </w:rPr>
        <w:t xml:space="preserve"> community, </w:t>
      </w:r>
      <w:r>
        <w:rPr>
          <w:rStyle w:val="DataTypeTok"/>
        </w:rPr>
        <w:t xml:space="preserve">YSI =</w:t>
      </w:r>
      <w:r>
        <w:rPr>
          <w:rStyle w:val="NormalTok"/>
        </w:rPr>
        <w:t xml:space="preserve"> YSI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years_since_introduction, </w:t>
      </w:r>
      <w:r>
        <w:rPr>
          <w:rStyle w:val="DataTypeTok"/>
        </w:rPr>
        <w:t xml:space="preserve">trait.mat =</w:t>
      </w:r>
      <w:r>
        <w:rPr>
          <w:rStyle w:val="NormalTok"/>
        </w:rPr>
        <w:t xml:space="preserve"> trait_matrix)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-study-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4</w:t>
      </w:r>
      <w:r>
        <w:t xml:space="preserve">: Case study 1 – relationships between the percentage of sealed surface area in a 500 m buffer zone around the 56 urban grassland plots and (a) the BNI, (b) the number of non-native species, (c) Rao’s Q as a measure of functional diversity, and (d) the standardized BNI. Asterisks indicate statistical significance using linear models (</w:t>
      </w:r>
      <w:r>
        <w:rPr>
          <w:rStyle w:val="VerbatimChar"/>
        </w:rPr>
        <w:t xml:space="preserve">***</w:t>
      </w:r>
      <w:r>
        <w:t xml:space="preserve"> </w:t>
      </w:r>
      <w:r>
        <w:t xml:space="preserve">= P &lt; 0.001,</w:t>
      </w:r>
      <w:r>
        <w:t xml:space="preserve"> </w:t>
      </w:r>
      <w:r>
        <w:rPr>
          <w:rStyle w:val="VerbatimChar"/>
        </w:rPr>
        <w:t xml:space="preserve">**</w:t>
      </w:r>
      <w:r>
        <w:t xml:space="preserve">= P &lt; 0.01,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= P &lt; 0.05, n.s. = P ≥ 0.05).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1</dc:title>
  <dc:creator>Maud Bernard-Verdier</dc:creator>
  <cp:keywords/>
  <dcterms:created xsi:type="dcterms:W3CDTF">2020-04-18T16:11:54Z</dcterms:created>
  <dcterms:modified xsi:type="dcterms:W3CDTF">2020-04-18T16:11:54Z</dcterms:modified>
</cp:coreProperties>
</file>