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Solemne I: Minería de Datos</w:t>
      </w:r>
    </w:p>
    <w:p>
      <w:pPr>
        <w:jc w:val="center"/>
      </w:pPr>
      <w:r>
        <w:rPr>
          <w:b/>
          <w:sz w:val="28"/>
        </w:rPr>
        <w:t>Análisis Predictivo de Ingresos mediante</w:t>
        <w:br/>
        <w:t>Clasificación Binaria</w:t>
      </w:r>
    </w:p>
    <w:p/>
    <w:p>
      <w:pPr>
        <w:jc w:val="center"/>
      </w:pPr>
      <w:r>
        <w:t>Profesor: Diego Robles C.</w:t>
      </w:r>
    </w:p>
    <w:p>
      <w:pPr>
        <w:jc w:val="center"/>
      </w:pPr>
      <w:r>
        <w:t>Dataset: Adult Income (UCI)</w:t>
      </w:r>
    </w:p>
    <w:p>
      <w:r>
        <w:br w:type="page"/>
      </w:r>
    </w:p>
    <w:p>
      <w:pPr>
        <w:pStyle w:val="Heading1"/>
        <w:jc w:val="left"/>
      </w:pPr>
      <w:r>
        <w:t>1. Introducción y Contexto del Problema</w:t>
      </w:r>
    </w:p>
    <w:p>
      <w:pPr>
        <w:jc w:val="both"/>
      </w:pPr>
      <w:r>
        <w:rPr>
          <w:rFonts w:ascii="Calibri" w:hAnsi="Calibri"/>
          <w:sz w:val="22"/>
        </w:rPr>
        <w:t>El análisis de datos demográficos mediante técnicas de minería de datos es fundamental para la toma de decisiones en políticas públicas y estudios socioeconómicos. Este trabajo aborda la pregunta: ¿Qué modelo de clasificación predice con mayor precisión el nivel de ingreso de una persona y cómo se comporta cada modelo al aplicar validación cruzada?</w:t>
      </w:r>
    </w:p>
    <w:p>
      <w:pPr>
        <w:jc w:val="both"/>
      </w:pPr>
      <w:r>
        <w:rPr>
          <w:rFonts w:ascii="Calibri" w:hAnsi="Calibri"/>
          <w:sz w:val="22"/>
        </w:rPr>
        <w:t>Utilizamos el Adult Income Dataset de UCI, que contiene 32,561 registros con 15 variables demográficas y laborales. El objetivo es clasificar si una persona gana más o menos de $50K anuales.</w:t>
      </w:r>
    </w:p>
    <w:p>
      <w:pPr>
        <w:pStyle w:val="Heading1"/>
        <w:jc w:val="left"/>
      </w:pPr>
      <w:r>
        <w:t>2. Metodología: Preprocesamiento y Preparación de Datos</w:t>
      </w:r>
    </w:p>
    <w:p>
      <w:pPr>
        <w:pStyle w:val="Heading2"/>
        <w:jc w:val="left"/>
      </w:pPr>
      <w:r>
        <w:t>2.1 Preprocesamiento de Datos (Semana 3)</w:t>
      </w:r>
    </w:p>
    <w:p>
      <w:pPr>
        <w:jc w:val="both"/>
      </w:pPr>
      <w:r>
        <w:rPr>
          <w:rFonts w:ascii="Calibri" w:hAnsi="Calibri"/>
          <w:sz w:val="22"/>
        </w:rPr>
        <w:t>Según los apuntes de la Semana 3 "Preprocesamiento de Datos", aplicamos las siguientes técnicas fundamentales:</w:t>
      </w:r>
    </w:p>
    <w:p>
      <w:pPr>
        <w:pStyle w:val="ListBullet"/>
        <w:ind w:left="720"/>
      </w:pPr>
      <w:r>
        <w:t>Detección y tratamiento de outliers: Identificamos valores atípicos mediante análisis de boxplots, considerando que los outliers son "objetos con características considerablemente diferentes a la mayoría" (Apuntes S3).</w:t>
      </w:r>
    </w:p>
    <w:p>
      <w:pPr>
        <w:pStyle w:val="ListBullet"/>
        <w:ind w:left="720"/>
      </w:pPr>
      <w:r>
        <w:t>Manejo de valores faltantes: Aplicamos estrategias de imputación y eliminación según la naturaleza de los datos faltantes.</w:t>
      </w:r>
    </w:p>
    <w:p>
      <w:pPr>
        <w:pStyle w:val="ListBullet"/>
        <w:ind w:left="720"/>
      </w:pPr>
      <w:r>
        <w:t>Codificación de variables categóricas: Utilizamos Label Encoding para variables ordinales y One-Hot Encoding para variables nominales, según lo visto en clase.</w:t>
      </w:r>
    </w:p>
    <w:p>
      <w:pPr>
        <w:pStyle w:val="ListBullet"/>
        <w:ind w:left="720"/>
      </w:pPr>
      <w:r>
        <w:t>Normalización y estandarización: Escalamos variables numéricas usando StandardScaler para lograr media=0 y desviación estándar=1, evitando la "maldición de la dimensionalidad".</w:t>
      </w:r>
    </w:p>
    <w:p>
      <w:pPr>
        <w:pStyle w:val="Heading2"/>
        <w:jc w:val="left"/>
      </w:pPr>
      <w:r>
        <w:t>2.2 Desbalance de Clases</w:t>
      </w:r>
    </w:p>
    <w:p>
      <w:pPr>
        <w:jc w:val="both"/>
      </w:pPr>
      <w:r>
        <w:rPr>
          <w:rFonts w:ascii="Calibri" w:hAnsi="Calibri"/>
          <w:sz w:val="22"/>
        </w:rPr>
        <w:t>Detectamos un desbalance significativo (76% clase ≤50K vs 24% clase &gt;50K). Según los apuntes, el "desbalance de las clases" puede afectar el rendimiento del modelo, por lo que consideramos este factor en la interpretación de métricas, priorizando F1-Score sobre Accuracy.</w:t>
      </w:r>
    </w:p>
    <w:p>
      <w:pPr>
        <w:pStyle w:val="Heading1"/>
        <w:jc w:val="left"/>
      </w:pPr>
      <w:r>
        <w:t>3. Modelos de Clasificación Implementados</w:t>
      </w:r>
    </w:p>
    <w:p>
      <w:pPr>
        <w:pStyle w:val="Heading2"/>
        <w:jc w:val="left"/>
      </w:pPr>
      <w:r>
        <w:t>3.1 Regresión Logística (Semana 6)</w:t>
      </w:r>
    </w:p>
    <w:p>
      <w:pPr>
        <w:jc w:val="both"/>
      </w:pPr>
      <w:r>
        <w:rPr>
          <w:rFonts w:ascii="Calibri" w:hAnsi="Calibri"/>
          <w:sz w:val="22"/>
        </w:rPr>
        <w:t>Implementamos Regresión Logística siguiendo los conceptos de la Semana 6. Este modelo cumple los supuestos teóricos:</w:t>
      </w:r>
    </w:p>
    <w:p>
      <w:pPr>
        <w:pStyle w:val="ListBullet"/>
        <w:ind w:left="720"/>
      </w:pPr>
      <w:r>
        <w:t>Variable dependiente binaria: Ingreso ≤50K (0) o &gt;50K (1)</w:t>
      </w:r>
    </w:p>
    <w:p>
      <w:pPr>
        <w:pStyle w:val="ListBullet"/>
        <w:ind w:left="720"/>
      </w:pPr>
      <w:r>
        <w:t>Observaciones independientes: Sin correlación entre registros</w:t>
      </w:r>
    </w:p>
    <w:p>
      <w:pPr>
        <w:pStyle w:val="ListBullet"/>
        <w:ind w:left="720"/>
      </w:pPr>
      <w:r>
        <w:t>Tamaño de muestra adecuado: 32,561 observaciones</w:t>
      </w:r>
    </w:p>
    <w:p>
      <w:pPr>
        <w:pStyle w:val="ListBullet"/>
        <w:ind w:left="720"/>
      </w:pPr>
      <w:r>
        <w:t>Estimación mediante máxima verosimilitud (no MCO)</w:t>
      </w:r>
    </w:p>
    <w:p>
      <w:pPr>
        <w:jc w:val="both"/>
      </w:pPr>
      <w:r>
        <w:rPr>
          <w:rFonts w:ascii="Calibri" w:hAnsi="Calibri"/>
          <w:sz w:val="22"/>
        </w:rPr>
        <w:t>La regresión logística estima la probabilidad de pertenecer a la clase 1 mediante la función logística, transformando valores lineales en probabilidades entre 0 y 1.</w:t>
      </w:r>
    </w:p>
    <w:p>
      <w:pPr>
        <w:pStyle w:val="Heading2"/>
        <w:jc w:val="left"/>
      </w:pPr>
      <w:r>
        <w:t>3.2 Random Forest (Semana 7)</w:t>
      </w:r>
    </w:p>
    <w:p>
      <w:pPr>
        <w:jc w:val="both"/>
      </w:pPr>
      <w:r>
        <w:rPr>
          <w:rFonts w:ascii="Calibri" w:hAnsi="Calibri"/>
          <w:sz w:val="22"/>
        </w:rPr>
        <w:t>Implementamos Random Forest basándonos en la teoría de Árboles de Decisión (Semana 7). Este modelo ensemble:</w:t>
      </w:r>
    </w:p>
    <w:p>
      <w:pPr>
        <w:pStyle w:val="ListBullet"/>
        <w:ind w:left="720"/>
      </w:pPr>
      <w:r>
        <w:t>Utiliza múltiples árboles de decisión para reducir sobreajuste</w:t>
      </w:r>
    </w:p>
    <w:p>
      <w:pPr>
        <w:pStyle w:val="ListBullet"/>
        <w:ind w:left="720"/>
      </w:pPr>
      <w:r>
        <w:t>Aplica criterio Gini para divisiones: minimiza la impureza en los nodos</w:t>
      </w:r>
    </w:p>
    <w:p>
      <w:pPr>
        <w:pStyle w:val="ListBullet"/>
        <w:ind w:left="720"/>
      </w:pPr>
      <w:r>
        <w:t>No requiere normalización de datos (ventaja sobre regresión logística)</w:t>
      </w:r>
    </w:p>
    <w:p>
      <w:pPr>
        <w:pStyle w:val="ListBullet"/>
        <w:ind w:left="720"/>
      </w:pPr>
      <w:r>
        <w:t>Maneja naturalmente variables categóricas y numéricas</w:t>
      </w:r>
    </w:p>
    <w:p>
      <w:pPr>
        <w:pStyle w:val="ListBullet"/>
        <w:ind w:left="720"/>
      </w:pPr>
      <w:r>
        <w:t>Proporciona importancia de variables mediante reducción de impureza</w:t>
      </w:r>
    </w:p>
    <w:p>
      <w:pPr>
        <w:pStyle w:val="Heading1"/>
        <w:jc w:val="left"/>
      </w:pPr>
      <w:r>
        <w:t>4. Resultados: Evaluación Dual (Holdout + Validación Cruzada)</w:t>
      </w:r>
    </w:p>
    <w:p>
      <w:pPr>
        <w:pStyle w:val="Heading2"/>
        <w:jc w:val="left"/>
      </w:pPr>
      <w:r>
        <w:t>4.1 Métricas en Holdout (80/20)</w:t>
      </w:r>
    </w:p>
    <w:p>
      <w:pPr>
        <w:jc w:val="both"/>
      </w:pPr>
      <w:r>
        <w:rPr>
          <w:rFonts w:ascii="Calibri" w:hAnsi="Calibri"/>
          <w:sz w:val="22"/>
        </w:rPr>
        <w:t>Resultados obtenidos en el conjunto de prueba: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Modelo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Accuracy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F1-Score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ROC-AUC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Regresión Logística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85.26%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73.82%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60.08%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66.24%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90.24%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Random Forest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85.67%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79.59%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54.46%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64.67%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90.70%</w:t>
            </w:r>
          </w:p>
        </w:tc>
      </w:tr>
    </w:tbl>
    <w:p/>
    <w:p>
      <w:pPr>
        <w:pStyle w:val="Heading2"/>
        <w:jc w:val="left"/>
      </w:pPr>
      <w:r>
        <w:t>4.2 Validación Cruzada (5-fold)</w:t>
      </w:r>
    </w:p>
    <w:p>
      <w:pPr>
        <w:jc w:val="both"/>
      </w:pPr>
      <w:r>
        <w:rPr>
          <w:rFonts w:ascii="Calibri" w:hAnsi="Calibri"/>
          <w:sz w:val="22"/>
        </w:rPr>
        <w:t>Aplicamos validación cruzada estratificada con k=5 folds para evaluar la robustez. Según los apuntes, la validación cruzada es crucial para "evitar confiar solo en un split de entrenamiento y test" y obtener estimaciones más confiables del rendimiento.</w:t>
      </w:r>
    </w:p>
    <w:p>
      <w:pPr>
        <w:pStyle w:val="ListBullet"/>
        <w:ind w:left="720"/>
      </w:pPr>
      <w:r>
        <w:t>Regresión Logística: F1-Score = 66.09% ± 1.00% (CV) vs 66.24% (Holdout)</w:t>
      </w:r>
    </w:p>
    <w:p>
      <w:pPr>
        <w:pStyle w:val="ListBullet"/>
        <w:ind w:left="720"/>
      </w:pPr>
      <w:r>
        <w:t>Random Forest: F1-Score = 64.86% ± 0.94% (CV) vs 64.67% (Holdout)</w:t>
      </w:r>
    </w:p>
    <w:p>
      <w:pPr>
        <w:pStyle w:val="ListBullet"/>
        <w:ind w:left="720"/>
      </w:pPr>
      <w:r>
        <w:t>Diferencia &lt; 0.5% confirma consistencia entre métodos</w:t>
      </w:r>
    </w:p>
    <w:p>
      <w:pPr>
        <w:pStyle w:val="ListBullet"/>
        <w:ind w:left="720"/>
      </w:pPr>
      <w:r>
        <w:t>Baja desviación estándar (&lt; 1%) indica estabilidad del modelo</w:t>
      </w:r>
    </w:p>
    <w:p>
      <w:pPr>
        <w:pStyle w:val="Heading1"/>
        <w:jc w:val="left"/>
      </w:pPr>
      <w:r>
        <w:t>5. Análisis Crítico: Interpretación con Base Teórica</w:t>
      </w:r>
    </w:p>
    <w:p>
      <w:pPr>
        <w:pStyle w:val="Heading2"/>
        <w:jc w:val="left"/>
      </w:pPr>
      <w:r>
        <w:t>5.1 Matriz de Confusión y Tipos de Error</w:t>
      </w:r>
    </w:p>
    <w:p>
      <w:pPr>
        <w:jc w:val="both"/>
      </w:pPr>
      <w:r>
        <w:rPr>
          <w:rFonts w:ascii="Calibri" w:hAnsi="Calibri"/>
          <w:sz w:val="22"/>
        </w:rPr>
        <w:t>Según la teoría de la Semana 6, analizamos errores tipo I (falsos positivos) y tipo II (falsos negativos):</w:t>
      </w:r>
    </w:p>
    <w:p>
      <w:pPr>
        <w:pStyle w:val="ListBullet"/>
        <w:ind w:left="720"/>
      </w:pPr>
      <w:r>
        <w:t>Regresión Logística: Mayor recall (60.08%), mejor detección de clase positiva</w:t>
      </w:r>
    </w:p>
    <w:p>
      <w:pPr>
        <w:pStyle w:val="ListBullet"/>
        <w:ind w:left="720"/>
      </w:pPr>
      <w:r>
        <w:t>Random Forest: Mayor precision (79.59%), menos falsos positivos</w:t>
      </w:r>
    </w:p>
    <w:p>
      <w:pPr>
        <w:pStyle w:val="ListBullet"/>
        <w:ind w:left="720"/>
      </w:pPr>
      <w:r>
        <w:t>En contexto socioeconómico: falsos negativos pueden excluir personas que necesitan apoyo</w:t>
      </w:r>
    </w:p>
    <w:p>
      <w:pPr>
        <w:pStyle w:val="Heading2"/>
        <w:jc w:val="left"/>
      </w:pPr>
      <w:r>
        <w:t>5.2 Curvas ROC y AUC</w:t>
      </w:r>
    </w:p>
    <w:p>
      <w:pPr>
        <w:jc w:val="both"/>
      </w:pPr>
      <w:r>
        <w:rPr>
          <w:rFonts w:ascii="Calibri" w:hAnsi="Calibri"/>
          <w:sz w:val="22"/>
        </w:rPr>
        <w:t>Las curvas ROC (Receiver Operating Characteristic) muestran el trade-off entre sensibilidad y especificidad. Ambos modelos logran AUC &gt; 90%, indicando excelente capacidad discriminativa.</w:t>
      </w:r>
    </w:p>
    <w:p>
      <w:pPr>
        <w:pStyle w:val="Heading2"/>
        <w:jc w:val="left"/>
      </w:pPr>
      <w:r>
        <w:t>5.3 Importancia de Variables</w:t>
      </w:r>
    </w:p>
    <w:p>
      <w:pPr>
        <w:jc w:val="both"/>
      </w:pPr>
      <w:r>
        <w:rPr>
          <w:rFonts w:ascii="Calibri" w:hAnsi="Calibri"/>
          <w:sz w:val="22"/>
        </w:rPr>
        <w:t>El análisis de Random Forest reveló las variables más predictivas (reducción de impureza Gini):</w:t>
      </w:r>
    </w:p>
    <w:p>
      <w:pPr>
        <w:pStyle w:val="ListBullet"/>
        <w:ind w:left="720"/>
      </w:pPr>
      <w:r>
        <w:t>capital-gain (28.4%): Ganancias de capital son el predictor más fuerte</w:t>
      </w:r>
    </w:p>
    <w:p>
      <w:pPr>
        <w:pStyle w:val="ListBullet"/>
        <w:ind w:left="720"/>
      </w:pPr>
      <w:r>
        <w:t>age (16.8%): La edad influye significativamente en el ingreso</w:t>
      </w:r>
    </w:p>
    <w:p>
      <w:pPr>
        <w:pStyle w:val="ListBullet"/>
        <w:ind w:left="720"/>
      </w:pPr>
      <w:r>
        <w:t>hours-per-week (13.2%): Horas trabajadas predicen nivel salarial</w:t>
      </w:r>
    </w:p>
    <w:p>
      <w:pPr>
        <w:pStyle w:val="ListBullet"/>
        <w:ind w:left="720"/>
      </w:pPr>
      <w:r>
        <w:t>education-num (12.1%): Años de educación correlacionan con ingresos</w:t>
      </w:r>
    </w:p>
    <w:p>
      <w:pPr>
        <w:pStyle w:val="ListBullet"/>
        <w:ind w:left="720"/>
      </w:pPr>
      <w:r>
        <w:t>capital-loss (8.9%): Pérdidas de capital también son relevantes</w:t>
      </w:r>
    </w:p>
    <w:p>
      <w:pPr>
        <w:pStyle w:val="Heading1"/>
        <w:jc w:val="left"/>
      </w:pPr>
      <w:r>
        <w:t>6. Conclusiones y Recomendaciones</w:t>
      </w:r>
    </w:p>
    <w:p>
      <w:pPr>
        <w:pStyle w:val="Heading2"/>
        <w:jc w:val="left"/>
      </w:pPr>
      <w:r>
        <w:t>6.1 Modelo Recomendado</w:t>
      </w:r>
    </w:p>
    <w:p>
      <w:pPr>
        <w:jc w:val="both"/>
      </w:pPr>
      <w:r>
        <w:rPr>
          <w:rFonts w:ascii="Calibri" w:hAnsi="Calibri"/>
          <w:sz w:val="22"/>
        </w:rPr>
        <w:t>Regresión Logística es el modelo óptimo para este problema por:</w:t>
      </w:r>
    </w:p>
    <w:p>
      <w:pPr>
        <w:pStyle w:val="ListBullet"/>
        <w:ind w:left="720"/>
      </w:pPr>
      <w:r>
        <w:t>Mejor F1-Score (66.24%): Balance óptimo en dataset desbalanceado</w:t>
      </w:r>
    </w:p>
    <w:p>
      <w:pPr>
        <w:pStyle w:val="ListBullet"/>
        <w:ind w:left="720"/>
      </w:pPr>
      <w:r>
        <w:t>Alta interpretabilidad: Coeficientes muestran dirección e impacto de variables</w:t>
      </w:r>
    </w:p>
    <w:p>
      <w:pPr>
        <w:pStyle w:val="ListBullet"/>
        <w:ind w:left="720"/>
      </w:pPr>
      <w:r>
        <w:t>Menor complejidad computacional: Escalable a grandes volúmenes</w:t>
      </w:r>
    </w:p>
    <w:p>
      <w:pPr>
        <w:pStyle w:val="ListBullet"/>
        <w:ind w:left="720"/>
      </w:pPr>
      <w:r>
        <w:t>Validación cruzada consistente: Resultados robustos y generalizables</w:t>
      </w:r>
    </w:p>
    <w:p>
      <w:pPr>
        <w:pStyle w:val="Heading2"/>
        <w:jc w:val="left"/>
      </w:pPr>
      <w:r>
        <w:t>6.2 Consideraciones Éticas</w:t>
      </w:r>
    </w:p>
    <w:p>
      <w:pPr>
        <w:jc w:val="both"/>
      </w:pPr>
      <w:r>
        <w:rPr>
          <w:rFonts w:ascii="Calibri" w:hAnsi="Calibri"/>
          <w:sz w:val="22"/>
        </w:rPr>
        <w:t>Identificamos riesgos éticos críticos basados en los apuntes de Semana 1 (Ética y Big Data):</w:t>
      </w:r>
    </w:p>
    <w:p>
      <w:pPr>
        <w:pStyle w:val="ListBullet"/>
        <w:ind w:left="720"/>
      </w:pPr>
      <w:r>
        <w:t>Sesgo histórico: Los datos reflejan desigualdades sociales existentes</w:t>
      </w:r>
    </w:p>
    <w:p>
      <w:pPr>
        <w:pStyle w:val="ListBullet"/>
        <w:ind w:left="720"/>
      </w:pPr>
      <w:r>
        <w:t>Discriminación algorítmica: Variables como raza y género pueden perpetuar sesgos</w:t>
      </w:r>
    </w:p>
    <w:p>
      <w:pPr>
        <w:pStyle w:val="ListBullet"/>
        <w:ind w:left="720"/>
      </w:pPr>
      <w:r>
        <w:t>Transparencia: En aplicaciones reales (préstamos, empleo) se requiere explicabilidad</w:t>
      </w:r>
    </w:p>
    <w:p>
      <w:pPr>
        <w:pStyle w:val="ListBullet"/>
        <w:ind w:left="720"/>
      </w:pPr>
      <w:r>
        <w:t>Equidad: Necesario auditar el modelo para garantizar justicia entre grupos demográficos</w:t>
      </w:r>
    </w:p>
    <w:p>
      <w:pPr>
        <w:pStyle w:val="Heading2"/>
        <w:jc w:val="left"/>
      </w:pPr>
      <w:r>
        <w:t>6.3 Próximos Pasos</w:t>
      </w:r>
    </w:p>
    <w:p>
      <w:pPr>
        <w:pStyle w:val="ListBullet"/>
        <w:ind w:left="720"/>
      </w:pPr>
      <w:r>
        <w:t>Técnicas de mitigación de sesgo (reweighting, fairness constraints)</w:t>
      </w:r>
    </w:p>
    <w:p>
      <w:pPr>
        <w:pStyle w:val="ListBullet"/>
        <w:ind w:left="720"/>
      </w:pPr>
      <w:r>
        <w:t>Pruebas de equidad entre grupos protegidos</w:t>
      </w:r>
    </w:p>
    <w:p>
      <w:pPr>
        <w:pStyle w:val="ListBullet"/>
        <w:ind w:left="720"/>
      </w:pPr>
      <w:r>
        <w:t>Análisis de sensibilidad ante cambios en distribución de datos</w:t>
      </w:r>
    </w:p>
    <w:p>
      <w:pPr>
        <w:pStyle w:val="ListBullet"/>
        <w:ind w:left="720"/>
      </w:pPr>
      <w:r>
        <w:t>Implementación de explicabilidad (SHAP, LIME) para aplicaciones reales</w:t>
      </w:r>
    </w:p>
    <w:p>
      <w:r>
        <w:br w:type="page"/>
      </w:r>
    </w:p>
    <w:p>
      <w:pPr>
        <w:pStyle w:val="Heading1"/>
        <w:jc w:val="left"/>
      </w:pPr>
      <w:r>
        <w:t>Referencias</w:t>
      </w:r>
    </w:p>
    <w:p>
      <w:pPr>
        <w:pStyle w:val="ListBullet"/>
        <w:ind w:left="720"/>
      </w:pPr>
      <w:r>
        <w:t>Robles, D. (2024). Preprocesamiento de Datos. Minería de Datos, Semana 3.</w:t>
      </w:r>
    </w:p>
    <w:p>
      <w:pPr>
        <w:pStyle w:val="ListBullet"/>
        <w:ind w:left="720"/>
      </w:pPr>
      <w:r>
        <w:t>Robles, D. (2024). Unidad II: Preparación de la información. Minería de Datos, Semana 5.</w:t>
      </w:r>
    </w:p>
    <w:p>
      <w:pPr>
        <w:pStyle w:val="ListBullet"/>
        <w:ind w:left="720"/>
      </w:pPr>
      <w:r>
        <w:t>Robles, D. (2024). Regresión Logística. Análisis utilizando aprendizaje automático, Semana 6.</w:t>
      </w:r>
    </w:p>
    <w:p>
      <w:pPr>
        <w:pStyle w:val="ListBullet"/>
        <w:ind w:left="720"/>
      </w:pPr>
      <w:r>
        <w:t>Robles, D. (2024). Árboles de Decisión. Unidad III: Aprendizaje supervisado, Semana 7.</w:t>
      </w:r>
    </w:p>
    <w:p>
      <w:pPr>
        <w:pStyle w:val="ListBullet"/>
        <w:ind w:left="720"/>
      </w:pPr>
      <w:r>
        <w:t>UCI Machine Learning Repository. (1996). Adult Income Dataset. https://archive.ics.uci.edu/ml/datasets/adult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