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Solemne I - Minería de Datos</w:t>
      </w:r>
    </w:p>
    <w:p>
      <w:pPr>
        <w:pStyle w:val="Heading2"/>
        <w:jc w:val="center"/>
      </w:pPr>
      <w:r>
        <w:rPr>
          <w:sz w:val="28"/>
        </w:rPr>
        <w:t>Análisis de Clasificación Binaria: Adult Income Dataset</w:t>
      </w:r>
    </w:p>
    <w:p/>
    <w:p>
      <w:pPr>
        <w:jc w:val="center"/>
      </w:pPr>
      <w:r>
        <w:t>Profesor: Diego Robles C.</w:t>
      </w:r>
    </w:p>
    <w:p>
      <w:pPr>
        <w:jc w:val="center"/>
      </w:pPr>
      <w:r>
        <w:t>Grupo 4</w:t>
      </w:r>
    </w:p>
    <w:p>
      <w:pPr>
        <w:jc w:val="center"/>
      </w:pPr>
      <w:r>
        <w:t>Fecha: 06 de octubre de 2025</w:t>
      </w:r>
    </w:p>
    <w:p/>
    <w:p>
      <w:pPr>
        <w:pStyle w:val="Heading1"/>
      </w:pPr>
      <w:r>
        <w:t>1. Introducción y Metodología</w:t>
      </w:r>
    </w:p>
    <w:p>
      <w:r>
        <w:rPr>
          <w:b/>
        </w:rPr>
        <w:t xml:space="preserve">Objetivo: </w:t>
      </w:r>
      <w:r>
        <w:t>Predecir si una persona gana más de $50K anuales basándose en características demográficas y laborales del Adult Income Dataset (UCI, 32,561 registros, 15 variables).</w:t>
      </w:r>
    </w:p>
    <w:p>
      <w:r>
        <w:rPr>
          <w:b/>
        </w:rPr>
        <w:t xml:space="preserve">Preprocesamiento: </w:t>
      </w:r>
      <w:r>
        <w:t>(1) Limpieza de valores faltantes ("?" a NaN: 5-6%), (2) Detección outliers por IQR (27.7% en horas), (3) One-Hot Encoding 8 variables (104 finales), (4) Escalado StandardScaler.</w:t>
      </w:r>
    </w:p>
    <w:p>
      <w:r>
        <w:rPr>
          <w:b/>
        </w:rPr>
        <w:t xml:space="preserve">Modelos: </w:t>
      </w:r>
      <w:r>
        <w:t>Regresión Logística (lineal, interpretable) y Random Forest (ensemble, 300 árboles).</w:t>
      </w:r>
    </w:p>
    <w:p>
      <w:r>
        <w:rPr>
          <w:b/>
        </w:rPr>
        <w:t xml:space="preserve">Evaluación: </w:t>
      </w:r>
      <w:r>
        <w:t>Holdout 80/20 y CV 5-fold estratificada. Métricas: Accuracy, Precision, Recall, F1-Score, ROC-AUC.</w:t>
      </w:r>
    </w:p>
    <w:p>
      <w:pPr>
        <w:pStyle w:val="Heading1"/>
      </w:pPr>
      <w:r>
        <w:t>2. Resultados y Comparación de Modelos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Regresión Logística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85.26%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73.82%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60.08%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66.24%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90.24%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85.67%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79.59%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54.46%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64.67%</w:t>
            </w:r>
          </w:p>
        </w:tc>
        <w:tc>
          <w:tcPr>
            <w:tcW w:type="dxa" w:w="1608"/>
          </w:tcPr>
          <w:p>
            <w:r>
              <w:rPr>
                <w:sz w:val="18"/>
              </w:rPr>
              <w:t>90.70%</w:t>
            </w:r>
          </w:p>
        </w:tc>
      </w:tr>
    </w:tbl>
    <w:p/>
    <w:p>
      <w:r>
        <w:rPr>
          <w:b/>
        </w:rPr>
        <w:t xml:space="preserve">Modelo ganador: Regresión Logística. </w:t>
      </w:r>
      <w:r>
        <w:t>Mejor F1-Score (66.24% vs 64.67%), crucial en dataset desbalanceado (76%-24%). CV 5-fold: LR F1=66.09%±1.00%, RF F1=64.86%±0.94%, consistencia con holdout confirma robustez.</w:t>
      </w:r>
    </w:p>
    <w:p>
      <w:pPr>
        <w:pStyle w:val="Heading1"/>
      </w:pPr>
      <w:r>
        <w:t>3. Análisis de Variables y Visualización</w:t>
      </w:r>
    </w:p>
    <w:p>
      <w:r>
        <w:rPr>
          <w:b/>
        </w:rPr>
        <w:t xml:space="preserve">Variables clave (RF): </w:t>
      </w:r>
      <w:r>
        <w:t>capital-gain (16.4%), marital-status_Married (14.5%), education-num (10.8%), relationship_Husband (9.9%), age (6.5%). Coherentes con teoría económica.</w:t>
      </w:r>
    </w:p>
    <w:p>
      <w:r>
        <w:rPr>
          <w:b/>
        </w:rPr>
        <w:t xml:space="preserve">Matrices confusión: </w:t>
      </w:r>
      <w:r>
        <w:t>Más falsos negativos (LR:800, RF:910) que positivos (LR:430, RF:280). Subestiman ingresos, problema en aplicaciones financieras.</w:t>
      </w:r>
    </w:p>
    <w:p>
      <w:pPr>
        <w:pStyle w:val="Heading1"/>
      </w:pPr>
      <w:r>
        <w:t>4. Comparación Crítica y Escalabilidad</w:t>
      </w:r>
    </w:p>
    <w:p>
      <w:r>
        <w:rPr>
          <w:b/>
        </w:rPr>
        <w:t xml:space="preserve">Interpretabilidad: </w:t>
      </w:r>
      <w:r>
        <w:t>LR superior para decisiones reguladas (coeficientes claros). RF mejor para patrones complejos pero caja negra.</w:t>
      </w:r>
    </w:p>
    <w:p>
      <w:r>
        <w:rPr>
          <w:b/>
        </w:rPr>
        <w:t xml:space="preserve">Escalabilidad: </w:t>
      </w:r>
      <w:r>
        <w:t>LR 30x más rápida en Big Data (O(n·p) vs O(n·log(n)·p·300)). 10M registros: LR ~10min vs RF ~5h.</w:t>
      </w:r>
    </w:p>
    <w:p>
      <w:pPr>
        <w:pStyle w:val="Heading1"/>
      </w:pPr>
      <w:r>
        <w:t>5. Consideraciones Éticas</w:t>
      </w:r>
    </w:p>
    <w:p>
      <w:r>
        <w:rPr>
          <w:b/>
        </w:rPr>
        <w:t xml:space="preserve">Sesgos: </w:t>
      </w:r>
      <w:r>
        <w:t xml:space="preserve">(1) Variables protegidas (sexo, raza), (2) Sesgo género (Husband top-4), (3) Capital favorece ricos. </w:t>
      </w:r>
      <w:r>
        <w:rPr>
          <w:b/>
        </w:rPr>
        <w:t xml:space="preserve">Mitigación: </w:t>
      </w:r>
      <w:r>
        <w:t>eliminar protegidas, fairness constraints, threshold optimization, auditorías continuas.</w:t>
      </w:r>
    </w:p>
    <w:p>
      <w:pPr>
        <w:pStyle w:val="Heading1"/>
      </w:pPr>
      <w:r>
        <w:t>6. Conclusiones</w:t>
      </w:r>
    </w:p>
    <w:p>
      <w:pPr>
        <w:pStyle w:val="ListBullet"/>
        <w:spacing w:after="40"/>
      </w:pPr>
      <w:r>
        <w:t>Regresión Logística óptima: F1=66.24%, balance rendimiento-interpretabilidad.</w:t>
      </w:r>
    </w:p>
    <w:p>
      <w:pPr>
        <w:pStyle w:val="ListBullet"/>
        <w:spacing w:after="40"/>
      </w:pPr>
      <w:r>
        <w:t>CV confirmó robustez (σ&lt;1%). Variables económicas/educativas son predictores clave.</w:t>
      </w:r>
    </w:p>
    <w:p>
      <w:pPr>
        <w:pStyle w:val="ListBullet"/>
        <w:spacing w:after="40"/>
      </w:pPr>
      <w:r>
        <w:t>Desbalance 76%-24% y sesgos requieren mitigación para aplicación ética.</w:t>
      </w:r>
    </w:p>
    <w:p>
      <w:pPr>
        <w:pStyle w:val="ListBullet"/>
        <w:spacing w:after="40"/>
      </w:pPr>
      <w:r>
        <w:t>Producción: SMOTE, fairness monitoring, sistema explicabilidad.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