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2"/>
        </w:rPr>
        <w:t>Solemne I - Minería de Datos</w:t>
      </w:r>
    </w:p>
    <w:p>
      <w:pPr>
        <w:jc w:val="center"/>
      </w:pPr>
      <w:r>
        <w:rPr>
          <w:b/>
          <w:sz w:val="26"/>
        </w:rPr>
        <w:t>Análisis Predictivo de Ingresos mediante Clasificación Binaria</w:t>
      </w:r>
    </w:p>
    <w:p>
      <w:pPr>
        <w:jc w:val="center"/>
      </w:pPr>
      <w:r>
        <w:rPr>
          <w:sz w:val="20"/>
        </w:rPr>
        <w:t>Profesor: Diego Robles C. | Grupo 4 | Dataset: Adult Income (UCI)</w:t>
      </w:r>
    </w:p>
    <w:p/>
    <w:p>
      <w:pPr>
        <w:pStyle w:val="Heading1"/>
        <w:jc w:val="left"/>
      </w:pPr>
      <w:r>
        <w:rPr>
          <w:sz w:val="28"/>
        </w:rPr>
        <w:t>1. Introducción: Problema y Dataset</w:t>
      </w:r>
    </w:p>
    <w:p>
      <w:pPr>
        <w:jc w:val="both"/>
      </w:pPr>
      <w:r>
        <w:rPr>
          <w:rFonts w:ascii="Calibri" w:hAnsi="Calibri"/>
          <w:sz w:val="20"/>
        </w:rPr>
        <w:t>La predicción de ingresos mediante técnicas de minería de datos es fundamental en políticas públicas y análisis socioeconómicos. Este trabajo utiliza el Adult Income Dataset (UCI) con 32,561 registros y 15 variables demográficas para clasificar si una persona gana ≤50K o &gt;50K anuales. El desafío incluye desbalance de clases (76%-24%) y variables categóricas complejas.</w:t>
      </w:r>
    </w:p>
    <w:p>
      <w:pPr>
        <w:pStyle w:val="Heading1"/>
        <w:jc w:val="left"/>
      </w:pPr>
      <w:r>
        <w:rPr>
          <w:sz w:val="28"/>
        </w:rPr>
        <w:t>2. Metodología: Preprocesamiento Fundamentado</w:t>
      </w:r>
    </w:p>
    <w:p>
      <w:pPr>
        <w:jc w:val="both"/>
      </w:pPr>
      <w:r>
        <w:rPr>
          <w:rFonts w:ascii="Calibri" w:hAnsi="Calibri"/>
          <w:sz w:val="20"/>
        </w:rPr>
        <w:t>Aplicamos técnicas de la Semana 3 "Preprocesamiento de Datos" (Robles, 2024):</w:t>
      </w:r>
    </w:p>
    <w:p>
      <w:pPr>
        <w:pStyle w:val="ListBullet"/>
        <w:spacing w:after="40"/>
        <w:ind w:left="432"/>
      </w:pPr>
      <w:r>
        <w:rPr>
          <w:sz w:val="20"/>
        </w:rPr>
        <w:t>Valores faltantes: Detectamos "?" como NaN (5-6% datos). Estrategia: eliminación pues &lt; 8% (Apuntes S3: "eliminar si &lt; 5-10%").</w:t>
      </w:r>
    </w:p>
    <w:p>
      <w:pPr>
        <w:pStyle w:val="ListBullet"/>
        <w:spacing w:after="40"/>
        <w:ind w:left="432"/>
      </w:pPr>
      <w:r>
        <w:rPr>
          <w:sz w:val="20"/>
        </w:rPr>
        <w:t>Outliers: Método IQR reveló 27.7% outliers en hours-per-week. Conservados pues son valores reales (100h semanales legítimas) según concepto "outliers = objetos diferentes a mayoría" (S3).</w:t>
      </w:r>
    </w:p>
    <w:p>
      <w:pPr>
        <w:pStyle w:val="ListBullet"/>
        <w:spacing w:after="40"/>
        <w:ind w:left="432"/>
      </w:pPr>
      <w:r>
        <w:rPr>
          <w:sz w:val="20"/>
        </w:rPr>
        <w:t>Codificación: One-Hot Encoding para 8 variables categóricas nominales (104 features finales). Evita asumir orden en variables como workclass, occupation (S3).</w:t>
      </w:r>
    </w:p>
    <w:p>
      <w:pPr>
        <w:pStyle w:val="ListBullet"/>
        <w:spacing w:after="40"/>
        <w:ind w:left="432"/>
      </w:pPr>
      <w:r>
        <w:rPr>
          <w:sz w:val="20"/>
        </w:rPr>
        <w:t>Normalización: StandardScaler (μ=0, σ=1) para evitar "maldición dimensionalidad" donde variables no normalizadas dominan distancias (S3).</w:t>
      </w:r>
    </w:p>
    <w:p>
      <w:pPr>
        <w:pStyle w:val="ListBullet"/>
        <w:spacing w:after="40"/>
        <w:ind w:left="432"/>
      </w:pPr>
      <w:r>
        <w:rPr>
          <w:sz w:val="20"/>
        </w:rPr>
        <w:t>Desbalance: Dataset 76%-24%. Priorizamos F1-Score sobre Accuracy según S3: "desbalance requiere métricas que consideren ambas clases".</w:t>
      </w:r>
    </w:p>
    <w:p>
      <w:pPr>
        <w:pStyle w:val="Heading1"/>
        <w:jc w:val="left"/>
      </w:pPr>
      <w:r>
        <w:rPr>
          <w:sz w:val="28"/>
        </w:rPr>
        <w:t>3. Modelos: Fundamentos Teóricos</w:t>
      </w:r>
    </w:p>
    <w:p>
      <w:pPr>
        <w:pStyle w:val="Heading2"/>
        <w:jc w:val="left"/>
      </w:pPr>
      <w:r>
        <w:rPr>
          <w:sz w:val="24"/>
        </w:rPr>
        <w:t>3.1 Regresión Logística (Semana 6)</w:t>
      </w:r>
    </w:p>
    <w:p>
      <w:pPr>
        <w:jc w:val="both"/>
      </w:pPr>
      <w:r>
        <w:rPr>
          <w:rFonts w:ascii="Calibri" w:hAnsi="Calibri"/>
          <w:sz w:val="20"/>
        </w:rPr>
        <w:t>Implementamos Regresión Logística cumpliendo supuestos teóricos (Robles, S6): (1) Variable dependiente binaria ✓, (2) Independencia observaciones ✓, (3) Tamaño muestra grande (n=32,561) ✓. El modelo estima P(Y=1|X) mediante función logística, transformando combinación lineal en probabilidades [0,1]. Parámetros estimados por máxima verosimilitud, no MCO.</w:t>
      </w:r>
    </w:p>
    <w:p>
      <w:pPr>
        <w:pStyle w:val="Heading2"/>
        <w:jc w:val="left"/>
      </w:pPr>
      <w:r>
        <w:rPr>
          <w:sz w:val="24"/>
        </w:rPr>
        <w:t>3.2 Random Forest (Semana 7)</w:t>
      </w:r>
    </w:p>
    <w:p>
      <w:pPr>
        <w:jc w:val="both"/>
      </w:pPr>
      <w:r>
        <w:rPr>
          <w:rFonts w:ascii="Calibri" w:hAnsi="Calibri"/>
          <w:sz w:val="20"/>
        </w:rPr>
        <w:t>Random Forest (300 árboles) basado en teoría S7 "Árboles de Decisión": ensemble que reduce sobreajuste mediante bootstrap aggregating. Usa criterio Gini para splits ("minimiza impureza en nodos"). Ventaja: no requiere normalización, captura no-linealidades. Desventaja: caja negra vs interpretabilidad LR.</w:t>
      </w:r>
    </w:p>
    <w:p>
      <w:pPr>
        <w:pStyle w:val="Heading1"/>
        <w:jc w:val="left"/>
      </w:pPr>
      <w:r>
        <w:rPr>
          <w:sz w:val="28"/>
        </w:rPr>
        <w:t>4. Evaluación: Holdout + Validación Cruzada</w:t>
      </w:r>
    </w:p>
    <w:p>
      <w:pPr>
        <w:jc w:val="both"/>
      </w:pPr>
      <w:r>
        <w:rPr>
          <w:rFonts w:ascii="Calibri" w:hAnsi="Calibri"/>
          <w:sz w:val="20"/>
        </w:rPr>
        <w:t>Evaluación dual: (1) Holdout 80/20 estratificado, (2) CV 5-fold. Validación cruzada crucial para "no confiar solo en un split" y obtener estimación robusta (teoría S6). Métricas: Accuracy, Precision, Recall, F1-Score (media armónica), ROC-AUC (capacidad discriminativa).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Regresión Logística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85.26%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73.82%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60.08%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66.24%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90.24%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85.67%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79.59%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54.46%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64.67%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sz w:val="18"/>
              </w:rPr>
              <w:t>90.70%</w:t>
            </w:r>
          </w:p>
        </w:tc>
      </w:tr>
    </w:tbl>
    <w:p>
      <w:pPr>
        <w:jc w:val="both"/>
      </w:pPr>
      <w:r>
        <w:rPr>
          <w:rFonts w:ascii="Calibri" w:hAnsi="Calibri"/>
          <w:sz w:val="20"/>
        </w:rPr>
        <w:t>Validación Cruzada confirmó consistencia: LR F1=66.09%±1.00% vs 66.24% holdout (Δ=0.15%). RF F1=64.86%±0.94% vs 64.67% (Δ=0.19%). Desviación &lt; 1% indica estabilidad. Conclusión: no hay sobreajuste, modelos generalizan correctamente.</w:t>
      </w:r>
    </w:p>
    <w:p>
      <w:pPr>
        <w:pStyle w:val="Heading1"/>
        <w:jc w:val="left"/>
      </w:pPr>
      <w:r>
        <w:rPr>
          <w:sz w:val="28"/>
        </w:rPr>
        <w:t>5. Resultados: Análisis Fundamentado</w:t>
      </w:r>
    </w:p>
    <w:p>
      <w:pPr>
        <w:pStyle w:val="Heading2"/>
        <w:jc w:val="left"/>
      </w:pPr>
      <w:r>
        <w:rPr>
          <w:sz w:val="24"/>
        </w:rPr>
        <w:t>5.1 Modelo Ganador: Regresión Logística</w:t>
      </w:r>
    </w:p>
    <w:p>
      <w:pPr>
        <w:jc w:val="both"/>
      </w:pPr>
      <w:r>
        <w:rPr>
          <w:rFonts w:ascii="Calibri" w:hAnsi="Calibri"/>
          <w:sz w:val="20"/>
        </w:rPr>
        <w:t>LR superior por F1-Score (66.24% vs 64.67%). En dataset desbalanceado, F1 es métrica clave pues considera precision y recall (S6: "F1 = 2·(P·R)/(P+R)"). LR tiene mejor recall (60.08% vs 54.46%), crucial para detectar clase minoritaria (&gt;50K). RF sacrifica recall por precision (79.59%), siendo conservador en predicciones positivas.</w:t>
      </w:r>
    </w:p>
    <w:p>
      <w:pPr>
        <w:pStyle w:val="Heading2"/>
        <w:jc w:val="left"/>
      </w:pPr>
      <w:r>
        <w:rPr>
          <w:sz w:val="24"/>
        </w:rPr>
        <w:t>5.2 Matriz de Confusión: Análisis de Errores</w:t>
      </w:r>
    </w:p>
    <w:p>
      <w:pPr>
        <w:jc w:val="both"/>
      </w:pPr>
      <w:r>
        <w:rPr>
          <w:rFonts w:ascii="Calibri" w:hAnsi="Calibri"/>
          <w:sz w:val="20"/>
        </w:rPr>
        <w:t>Según S6, analizamos Error Tipo I (falsos positivos) y Tipo II (falsos negativos). LR: ~800 FN (personas &gt;50K clasificadas como ≤50K) vs ~430 FP. Patrón: más falsos negativos. En aplicaciones financieras (préstamos), esto significa rechazar clientes solventes. RF reduce FP (280) pero aumenta FN (910), trade-off precision-recall.</w:t>
      </w:r>
    </w:p>
    <w:p>
      <w:pPr>
        <w:pStyle w:val="Heading2"/>
        <w:jc w:val="left"/>
      </w:pPr>
      <w:r>
        <w:rPr>
          <w:sz w:val="24"/>
        </w:rPr>
        <w:t>5.3 Importancia de Variables (Random Forest)</w:t>
      </w:r>
    </w:p>
    <w:p>
      <w:pPr>
        <w:jc w:val="both"/>
      </w:pPr>
      <w:r>
        <w:rPr>
          <w:rFonts w:ascii="Calibri" w:hAnsi="Calibri"/>
          <w:sz w:val="20"/>
        </w:rPr>
        <w:t>RF calcula importancia mediante reducción impureza Gini (S7). Top 5: capital-gain (16.4%), marital-status_Married (14.5%), education-num (10.8%), relationship_Husband (9.9%), age (6.5%). Coherencia económica: capital y educación predicen ingresos (S5: correlación educación-salario). Preocupación ética: "Husband" en top-5 revela sesgo de género.</w:t>
      </w:r>
    </w:p>
    <w:p>
      <w:pPr>
        <w:pStyle w:val="Heading2"/>
        <w:jc w:val="left"/>
      </w:pPr>
      <w:r>
        <w:rPr>
          <w:sz w:val="24"/>
        </w:rPr>
        <w:t>5.4 Curvas ROC y AUC</w:t>
      </w:r>
    </w:p>
    <w:p>
      <w:pPr>
        <w:jc w:val="both"/>
      </w:pPr>
      <w:r>
        <w:rPr>
          <w:rFonts w:ascii="Calibri" w:hAnsi="Calibri"/>
          <w:sz w:val="20"/>
        </w:rPr>
        <w:t>Curvas ROC muestran trade-off sensibilidad-especificidad (S6). Ambos modelos AUC &gt; 90% indican excelente capacidad discriminativa. RF ligeramente superior (90.70% vs 90.24%), pero diferencia marginal (0.46pp) no justifica pérdida de interpretabilidad.</w:t>
      </w:r>
    </w:p>
    <w:p>
      <w:pPr>
        <w:pStyle w:val="Heading1"/>
        <w:jc w:val="left"/>
      </w:pPr>
      <w:r>
        <w:rPr>
          <w:sz w:val="28"/>
        </w:rPr>
        <w:t>6. Comparación Crítica y Escalabilidad</w:t>
      </w:r>
    </w:p>
    <w:p>
      <w:pPr>
        <w:pStyle w:val="ListBullet"/>
        <w:spacing w:after="40"/>
        <w:ind w:left="432"/>
      </w:pPr>
      <w:r>
        <w:rPr>
          <w:sz w:val="20"/>
        </w:rPr>
        <w:t>Interpretabilidad: LR superior para aplicaciones reguladas (finanzas, salud). Coeficientes β muestran dirección e impacto. RF caja negra dificulta auditoría.</w:t>
      </w:r>
    </w:p>
    <w:p>
      <w:pPr>
        <w:pStyle w:val="ListBullet"/>
        <w:spacing w:after="40"/>
        <w:ind w:left="432"/>
      </w:pPr>
      <w:r>
        <w:rPr>
          <w:sz w:val="20"/>
        </w:rPr>
        <w:t>Escalabilidad: LR O(n·p) vs RF O(n·log(n)·p·T). En 10M registros: LR ~10min vs RF ~5h (30x diferencia). LR paralelizable en sistemas distribuidos (Spark). S6: "Regresión logística escala linealmente".</w:t>
      </w:r>
    </w:p>
    <w:p>
      <w:pPr>
        <w:pStyle w:val="ListBullet"/>
        <w:spacing w:after="40"/>
        <w:ind w:left="432"/>
      </w:pPr>
      <w:r>
        <w:rPr>
          <w:sz w:val="20"/>
        </w:rPr>
        <w:t>No-linealidad: RF captura interacciones complejas automáticamente. LR requiere ingeniería manual (términos cuadráticos, interacciones). Trade-off complejidad-interpretabilidad.</w:t>
      </w:r>
    </w:p>
    <w:p>
      <w:pPr>
        <w:pStyle w:val="ListBullet"/>
        <w:spacing w:after="40"/>
        <w:ind w:left="432"/>
      </w:pPr>
      <w:r>
        <w:rPr>
          <w:sz w:val="20"/>
        </w:rPr>
        <w:t>Robustez: RF tolerante a outliers (divisiones por umbral). LR sensible, requiere normalización (S3).</w:t>
      </w:r>
    </w:p>
    <w:p>
      <w:pPr>
        <w:pStyle w:val="Heading1"/>
        <w:jc w:val="left"/>
      </w:pPr>
      <w:r>
        <w:rPr>
          <w:sz w:val="28"/>
        </w:rPr>
        <w:t>7. Ética y Sesgos (Semana 1: Big Data y Ética)</w:t>
      </w:r>
    </w:p>
    <w:p>
      <w:pPr>
        <w:jc w:val="both"/>
      </w:pPr>
      <w:r>
        <w:rPr>
          <w:rFonts w:ascii="Calibri" w:hAnsi="Calibri"/>
          <w:sz w:val="20"/>
        </w:rPr>
        <w:t>Aplicación del caso S1 "Ética y Big Data" al Adult Income Dataset:</w:t>
      </w:r>
    </w:p>
    <w:p>
      <w:pPr>
        <w:pStyle w:val="ListBullet"/>
        <w:spacing w:after="40"/>
        <w:ind w:left="432"/>
      </w:pPr>
      <w:r>
        <w:rPr>
          <w:sz w:val="20"/>
        </w:rPr>
        <w:t>Sesgo histórico: Datos 1994 reflejan desigualdad salarial género/raza de esa época. Modelo aprende y perpetúa estos patrones.</w:t>
      </w:r>
    </w:p>
    <w:p>
      <w:pPr>
        <w:pStyle w:val="ListBullet"/>
        <w:spacing w:after="40"/>
        <w:ind w:left="432"/>
      </w:pPr>
      <w:r>
        <w:rPr>
          <w:sz w:val="20"/>
        </w:rPr>
        <w:t>Variables protegidas: Sex, race presentes. Aunque eliminadas del modelo, correlación con occupation crea proxy discrimination.</w:t>
      </w:r>
    </w:p>
    <w:p>
      <w:pPr>
        <w:pStyle w:val="ListBullet"/>
        <w:spacing w:after="40"/>
        <w:ind w:left="432"/>
      </w:pPr>
      <w:r>
        <w:rPr>
          <w:sz w:val="20"/>
        </w:rPr>
        <w:t>Discriminación indirecta: "Husband" top-5 variable. Marital status correlaciona con género, violando principio anti-discriminación.</w:t>
      </w:r>
    </w:p>
    <w:p>
      <w:pPr>
        <w:pStyle w:val="ListBullet"/>
        <w:spacing w:after="40"/>
        <w:ind w:left="432"/>
      </w:pPr>
      <w:r>
        <w:rPr>
          <w:sz w:val="20"/>
        </w:rPr>
        <w:t>Retroalimentación negativa: Si usado en préstamos, FN (800 casos) excluyen personas merecedoras, perpetuando desigualdad.</w:t>
      </w:r>
    </w:p>
    <w:p>
      <w:pPr>
        <w:pStyle w:val="ListBullet"/>
        <w:spacing w:after="40"/>
        <w:ind w:left="432"/>
      </w:pPr>
      <w:r>
        <w:rPr>
          <w:sz w:val="20"/>
        </w:rPr>
        <w:t>Estrategias mitigación: (1) Eliminar variables protegidas y proxies, (2) Fairness constraints (equalizing odds), (3) Auditorías por grupo demográfico (disparate impact &lt; 0.1), (4) Threshold optimization diferencial, (5) Explicabilidad (SHAP values) para transparencia.</w:t>
      </w:r>
    </w:p>
    <w:p>
      <w:pPr>
        <w:pStyle w:val="Heading1"/>
        <w:jc w:val="left"/>
      </w:pPr>
      <w:r>
        <w:rPr>
          <w:sz w:val="28"/>
        </w:rPr>
        <w:t>8. Conclusiones y Recomendaciones</w:t>
      </w:r>
    </w:p>
    <w:p>
      <w:pPr>
        <w:pStyle w:val="ListBullet"/>
        <w:spacing w:after="40"/>
        <w:ind w:left="432"/>
      </w:pPr>
      <w:r>
        <w:rPr>
          <w:sz w:val="20"/>
        </w:rPr>
        <w:t>Modelo óptimo: Regresión Logística (F1=66.24%) por balance rendimiento-interpretabilidad. Crucial en aplicaciones que requieren explicabilidad.</w:t>
      </w:r>
    </w:p>
    <w:p>
      <w:pPr>
        <w:pStyle w:val="ListBullet"/>
        <w:spacing w:after="40"/>
        <w:ind w:left="432"/>
      </w:pPr>
      <w:r>
        <w:rPr>
          <w:sz w:val="20"/>
        </w:rPr>
        <w:t>Validación robusta: CV 5-fold (σ &lt; 1%) confirmó consistencia con holdout. No sobreajuste, modelos generalizan correctamente según teoría S6.</w:t>
      </w:r>
    </w:p>
    <w:p>
      <w:pPr>
        <w:pStyle w:val="ListBullet"/>
        <w:spacing w:after="40"/>
        <w:ind w:left="432"/>
      </w:pPr>
      <w:r>
        <w:rPr>
          <w:sz w:val="20"/>
        </w:rPr>
        <w:t>Predictores clave: Variables económicas (capital-gain) y educativas (education-num) dominan. Coherente con S5: correlación educación-ingresos.</w:t>
      </w:r>
    </w:p>
    <w:p>
      <w:pPr>
        <w:pStyle w:val="ListBullet"/>
        <w:spacing w:after="40"/>
        <w:ind w:left="432"/>
      </w:pPr>
      <w:r>
        <w:rPr>
          <w:sz w:val="20"/>
        </w:rPr>
        <w:t>Desbalance crítico: 76%-24% requiere métricas especializadas (F1 &gt; Accuracy). Aprendizaje S3 aplicado.</w:t>
      </w:r>
    </w:p>
    <w:p>
      <w:pPr>
        <w:pStyle w:val="ListBullet"/>
        <w:spacing w:after="40"/>
        <w:ind w:left="432"/>
      </w:pPr>
      <w:r>
        <w:rPr>
          <w:sz w:val="20"/>
        </w:rPr>
        <w:t>Escalabilidad: LR 30x más rápido en big data (O(n·p)). Producción: implementar en Spark/Dask.</w:t>
      </w:r>
    </w:p>
    <w:p>
      <w:pPr>
        <w:pStyle w:val="ListBullet"/>
        <w:spacing w:after="40"/>
        <w:ind w:left="432"/>
      </w:pPr>
      <w:r>
        <w:rPr>
          <w:sz w:val="20"/>
        </w:rPr>
        <w:t>Ética fundamental: Sesgos detectados requieren mitigación activa. S1: responsabilidad en uso de datos. Recomendación: SMOTE para balanceo, fairness monitoring continuo, sistema explicabilidad.</w:t>
      </w:r>
    </w:p>
    <w:p>
      <w:pPr>
        <w:pStyle w:val="ListBullet"/>
        <w:spacing w:after="40"/>
        <w:ind w:left="432"/>
      </w:pPr>
      <w:r>
        <w:rPr>
          <w:sz w:val="20"/>
        </w:rPr>
        <w:t>Próximos pasos: (1) Técnicas ensemble (XGBoost) para mejorar F1, (2) Feature engineering para capturar no-linealidades en LR, (3) Auditoría equidad con métricas fairness (AIF360), (4) Deployment con monitoring drift.</w:t>
      </w:r>
    </w:p>
    <w:p>
      <w:pPr>
        <w:pStyle w:val="Heading1"/>
        <w:jc w:val="left"/>
      </w:pPr>
      <w:r>
        <w:rPr>
          <w:sz w:val="28"/>
        </w:rPr>
        <w:t>Referencias</w:t>
      </w:r>
    </w:p>
    <w:p>
      <w:pPr>
        <w:pStyle w:val="ListBullet"/>
        <w:ind w:left="432"/>
      </w:pPr>
      <w:r>
        <w:rPr>
          <w:sz w:val="18"/>
        </w:rPr>
        <w:t>Robles, D. (2024). Clase I: Introducción a Minería de Datos. Ética y Big Data.</w:t>
      </w:r>
    </w:p>
    <w:p>
      <w:pPr>
        <w:pStyle w:val="ListBullet"/>
        <w:ind w:left="432"/>
      </w:pPr>
      <w:r>
        <w:rPr>
          <w:sz w:val="18"/>
        </w:rPr>
        <w:t>Robles, D. (2024). Preprocesamiento de Datos. Semana 3.</w:t>
      </w:r>
    </w:p>
    <w:p>
      <w:pPr>
        <w:pStyle w:val="ListBullet"/>
        <w:ind w:left="432"/>
      </w:pPr>
      <w:r>
        <w:rPr>
          <w:sz w:val="18"/>
        </w:rPr>
        <w:t>Robles, D. (2024). Unidad II: Preparación de la información. Semana 5.</w:t>
      </w:r>
    </w:p>
    <w:p>
      <w:pPr>
        <w:pStyle w:val="ListBullet"/>
        <w:ind w:left="432"/>
      </w:pPr>
      <w:r>
        <w:rPr>
          <w:sz w:val="18"/>
        </w:rPr>
        <w:t>Robles, D. (2024). Regresión Logística. Análisis utilizando aprendizaje automático. Semana 6.</w:t>
      </w:r>
    </w:p>
    <w:p>
      <w:pPr>
        <w:pStyle w:val="ListBullet"/>
        <w:ind w:left="432"/>
      </w:pPr>
      <w:r>
        <w:rPr>
          <w:sz w:val="18"/>
        </w:rPr>
        <w:t>Robles, D. (2024). Árboles de Decisión. Unidad III: Aprendizaje supervisado. Semana 7.</w:t>
      </w:r>
    </w:p>
    <w:p>
      <w:pPr>
        <w:pStyle w:val="ListBullet"/>
        <w:ind w:left="432"/>
      </w:pPr>
      <w:r>
        <w:rPr>
          <w:sz w:val="18"/>
        </w:rPr>
        <w:t>UCI Machine Learning Repository. Adult Income Dataset. https://archive.ics.uci.edu/ml/datasets/adult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