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</w:pPr>
      <w:r>
        <w:rPr>
          <w:rFonts w:ascii="Calibri" w:hAnsi="Calibri"/>
          <w:b/>
          <w:color w:val="2E74B5"/>
          <w:sz w:val="20"/>
        </w:rPr>
        <w:t>INFORME TÉCNICO Y PLAN RECTIFICADO</w:t>
      </w:r>
    </w:p>
    <w:p>
      <w:pPr>
        <w:spacing w:before="0" w:after="100"/>
      </w:pPr>
      <w:r>
        <w:rPr>
          <w:rFonts w:ascii="Calibri" w:hAnsi="Calibri"/>
          <w:b/>
          <w:color w:val="0B2545"/>
          <w:sz w:val="50"/>
        </w:rPr>
        <w:t>Sistema de desarrollo asistido por IA para FitFlow</w:t>
      </w:r>
    </w:p>
    <w:p>
      <w:pPr>
        <w:spacing w:before="0" w:after="360"/>
      </w:pPr>
      <w:r>
        <w:rPr>
          <w:rFonts w:ascii="Calibri" w:hAnsi="Calibri"/>
          <w:color w:val="5F6B7A"/>
          <w:sz w:val="26"/>
        </w:rPr>
        <w:t>Arquitectura de contexto, orquestación de agentes, matriz de modelos y hoja de ruta para LlamaIndex, Qdrant, RepoMap, Repomix, MCP y Promptfoo</w:t>
      </w:r>
    </w:p>
    <w:p>
      <w:pPr>
        <w:spacing w:after="40" w:line="240" w:lineRule="auto"/>
      </w:pPr>
      <w:r>
        <w:rPr>
          <w:rFonts w:ascii="Calibri" w:hAnsi="Calibri"/>
          <w:b/>
          <w:color w:val="111827"/>
          <w:sz w:val="21"/>
        </w:rPr>
        <w:t xml:space="preserve">Proyecto: </w:t>
      </w:r>
      <w:r>
        <w:rPr>
          <w:rFonts w:ascii="Calibri" w:hAnsi="Calibri"/>
          <w:color w:val="111827"/>
          <w:sz w:val="21"/>
        </w:rPr>
        <w:t>FitFlow</w:t>
      </w:r>
    </w:p>
    <w:p>
      <w:pPr>
        <w:spacing w:after="40" w:line="240" w:lineRule="auto"/>
      </w:pPr>
      <w:r>
        <w:rPr>
          <w:rFonts w:ascii="Calibri" w:hAnsi="Calibri"/>
          <w:b/>
          <w:color w:val="111827"/>
          <w:sz w:val="21"/>
        </w:rPr>
        <w:t xml:space="preserve">Estado: </w:t>
      </w:r>
      <w:r>
        <w:rPr>
          <w:rFonts w:ascii="Calibri" w:hAnsi="Calibri"/>
          <w:color w:val="111827"/>
          <w:sz w:val="21"/>
        </w:rPr>
        <w:t>Propuesta consolidada para validación del desarrollador</w:t>
      </w:r>
    </w:p>
    <w:p>
      <w:pPr>
        <w:spacing w:after="40" w:line="240" w:lineRule="auto"/>
      </w:pPr>
      <w:r>
        <w:rPr>
          <w:rFonts w:ascii="Calibri" w:hAnsi="Calibri"/>
          <w:b/>
          <w:color w:val="111827"/>
          <w:sz w:val="21"/>
        </w:rPr>
        <w:t xml:space="preserve">Baseline histórico: </w:t>
      </w:r>
      <w:r>
        <w:rPr>
          <w:rFonts w:ascii="Calibri" w:hAnsi="Calibri"/>
          <w:color w:val="111827"/>
          <w:sz w:val="21"/>
        </w:rPr>
        <w:t>fitflow_docs_v3_full.zip</w:t>
      </w:r>
    </w:p>
    <w:p>
      <w:pPr>
        <w:spacing w:after="40" w:line="240" w:lineRule="auto"/>
      </w:pPr>
      <w:r>
        <w:rPr>
          <w:rFonts w:ascii="Calibri" w:hAnsi="Calibri"/>
          <w:b/>
          <w:color w:val="111827"/>
          <w:sz w:val="21"/>
        </w:rPr>
        <w:t xml:space="preserve">Doctrina activa: </w:t>
      </w:r>
      <w:r>
        <w:rPr>
          <w:rFonts w:ascii="Calibri" w:hAnsi="Calibri"/>
          <w:color w:val="111827"/>
          <w:sz w:val="21"/>
        </w:rPr>
        <w:t>architecture.md actual + jerarquía SOURCE_OF_TRUTH</w:t>
      </w:r>
    </w:p>
    <w:p>
      <w:pPr>
        <w:spacing w:after="40" w:line="240" w:lineRule="auto"/>
      </w:pPr>
      <w:r>
        <w:rPr>
          <w:rFonts w:ascii="Calibri" w:hAnsi="Calibri"/>
          <w:b/>
          <w:color w:val="111827"/>
          <w:sz w:val="21"/>
        </w:rPr>
        <w:t xml:space="preserve">Fecha: </w:t>
      </w:r>
      <w:r>
        <w:rPr>
          <w:rFonts w:ascii="Calibri" w:hAnsi="Calibri"/>
          <w:color w:val="111827"/>
          <w:sz w:val="21"/>
        </w:rPr>
        <w:t>15 de agosto de 2026</w:t>
      </w:r>
    </w:p>
    <w:p>
      <w:pPr>
        <w:spacing w:before="240" w:after="280"/>
        <w:pBdr>
          <w:bottom w:val="single" w:sz="12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5E45"/>
                <w:sz w:val="21"/>
              </w:rPr>
              <w:t>Decisión recomendada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20"/>
              </w:rPr>
              <w:t>Adoptar una arquitectura context-first: contratos y scopes deterministas primero; RepoMap/Repomix y lectura real como base; LlamaIndex + Qdrant como recuperación derivada; orquestación autónoma, MCP y Promptfoo solo después de demostrar calidad, trazabilidad y límites de operación.</w:t>
            </w:r>
          </w:p>
        </w:tc>
      </w:tr>
    </w:tbl>
    <w:p>
      <w:pPr>
        <w:spacing w:after="0"/>
      </w:pPr>
    </w:p>
    <w:p>
      <w:pPr>
        <w:spacing w:before="280" w:after="0"/>
      </w:pPr>
      <w:r>
        <w:rPr>
          <w:rFonts w:ascii="Calibri" w:hAnsi="Calibri"/>
          <w:b/>
          <w:color w:val="0B2545"/>
          <w:sz w:val="20"/>
        </w:rPr>
        <w:t>Uso previsto</w:t>
      </w:r>
    </w:p>
    <w:p>
      <w:pPr>
        <w:spacing w:after="0"/>
      </w:pPr>
      <w:r>
        <w:rPr>
          <w:rFonts w:ascii="Calibri" w:hAnsi="Calibri"/>
          <w:color w:val="5F6B7A"/>
          <w:sz w:val="19"/>
        </w:rPr>
        <w:t>Documento de decisión y ejecución. Las rutas nuevas se presentan como propuesta; no deben asumirse existentes hasta verificarlas en el workspace real.</w:t>
      </w:r>
    </w:p>
    <w:p>
      <w:pPr>
        <w:pStyle w:val="Heading1"/>
        <w:keepNext/>
        <w:keepLines/>
        <w:pageBreakBefore/>
      </w:pPr>
      <w:r>
        <w:t>Resumen ejecutivo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FitFlow ya dispone de una doctrina útil: la realidad ejecutable gobierna el estado presente; la documentación canónica gobierna significado y fronteras; tasks y resultados aportan trazabilidad; índices, embeddings y mapas solo ayudan a localizar evidencia. El plan debe conservar esa jerarquía y evitar convertir a LlamaIndex, Qdrant o un resumen de agente en una nueva fuente de verdad.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La primera meta no es automatizar toda la cadena de desarrollo. Es producir contexto acotado, reproducible y verificable para tareas backend, frontend y mixtas. Una vez que ese contrato funciona, puede conectarse a coders y reviewers mediante una máquina de estados con gates humanos, presupuestos y límites de reintento.</w:t>
      </w:r>
    </w:p>
    <w:p>
      <w:pPr>
        <w:pStyle w:val="Heading2"/>
        <w:keepNext/>
        <w:keepLines/>
      </w:pPr>
      <w:r>
        <w:t>Recomendación en nueve decisiones</w:t>
      </w:r>
    </w:p>
    <w:p>
      <w:pPr>
        <w:widowControl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111827"/>
        </w:rPr>
        <w:t>Mantener dos superficies documentales: doctrina compacta y normativa para agentes; explicación humana fuera del contexto automático.</w:t>
      </w:r>
    </w:p>
    <w:p>
      <w:pPr>
        <w:widowControl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111827"/>
        </w:rPr>
        <w:t>Separar el producto FitFlow del laboratorio de tooling en env_tools; ningún componente de indexación debe importarse desde el runtime del backend.</w:t>
      </w:r>
    </w:p>
    <w:p>
      <w:pPr>
        <w:widowControl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111827"/>
        </w:rPr>
        <w:t>Implementar un único CLI de contexto con tres scopes explícitos: backend, frontend y mixed.</w:t>
      </w:r>
    </w:p>
    <w:p>
      <w:pPr>
        <w:widowControl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111827"/>
        </w:rPr>
        <w:t>Usar Node/TypeScript para invocar Repomix y emitir XML; XML es un formato de intercambio, no un lenguaje de scripting.</w:t>
      </w:r>
    </w:p>
    <w:p>
      <w:pPr>
        <w:widowControl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111827"/>
        </w:rPr>
        <w:t>Tratar RepoMap, embeddings y búsqueda semántica como generadores de candidatos; coder y reviewer deben abrir la fuente real antes de decidir.</w:t>
      </w:r>
    </w:p>
    <w:p>
      <w:pPr>
        <w:widowControl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111827"/>
        </w:rPr>
        <w:t>Iniciar LlamaIndex como ingestion pipeline + retrieval + workflow tipado de contexto, no como orquestador total de modelos.</w:t>
      </w:r>
    </w:p>
    <w:p>
      <w:pPr>
        <w:widowControl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111827"/>
        </w:rPr>
        <w:t>Asignar modelos por riesgo/capacidad, no por preferencia fija: CoderB queda limitado a cambios mecánicos; tareas de dominio, seguridad o transacción van a CoderA fuerte y revisión independiente.</w:t>
      </w:r>
    </w:p>
    <w:p>
      <w:pPr>
        <w:widowControl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111827"/>
        </w:rPr>
        <w:t>Exponer MCP solo en modo read-only y local cuando el índice sea estable; incorporar Promptfoo después de disponer de un set dorado y una salida determinista.</w:t>
      </w:r>
    </w:p>
    <w:p>
      <w:pPr>
        <w:widowControl/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/>
          <w:color w:val="111827"/>
        </w:rPr>
        <w:t>Reindexar únicamente sobre revisiones identificables y promover a Done solo con evidencias de validación y decisión humana cuando corresponda.</w:t>
      </w:r>
    </w:p>
    <w:p>
      <w:pPr>
        <w:pStyle w:val="Heading2"/>
        <w:keepNext/>
        <w:keepLines/>
      </w:pPr>
      <w:r>
        <w:t>Resultado esperado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Horizonte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Capacidad entregada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Qué todavía no habilita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Corto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Context packages backend/frontend/mixed, versionados y con evidencia real.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Autonomía de merge o cambios de arquitectura.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Medio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Índice estructural + semántico evaluado; workflow tipado y trazable.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MCP público, múltiples agentes escribiendo la misma zona.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Posterior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MCP local read-only, Promptfoo, piloto de tareas de bajo riesgo.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Promoción automática de cambios críticos sin aprobación humana.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Mapa del informe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1. Alcance, evidencia y limitaciones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2. Doctrina documental y source of truth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3. Arquitectura física y contratos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4. Contexto backend, frontend y mixto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5. Roles, razonamiento y matriz de modelos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6. Flujo orquestado, estados y casos de uso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7. LlamaIndex, Qdrant, RepoMap y Repomix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8. MCP, hooks, observabilidad y Promptfoo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9. Plan de ejecución rectificado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10. Task propuesta FF-AI-001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Anexos técnicos y fuentes</w:t>
      </w:r>
    </w:p>
    <w:p>
      <w:pPr>
        <w:pStyle w:val="Heading1"/>
        <w:keepNext/>
        <w:keepLines/>
        <w:pageBreakBefore/>
      </w:pPr>
      <w:r>
        <w:t>1. Alcance, evidencia y limitaciones</w:t>
      </w:r>
    </w:p>
    <w:p>
      <w:pPr>
        <w:pStyle w:val="Heading2"/>
        <w:keepNext/>
        <w:keepLines/>
      </w:pPr>
      <w:r>
        <w:t>1.1 Material consolidado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El informe combina el baseline histórico fitflow_docs_v3_full.zip, la planificación inicial adjunta, la arquitectura vigente recuperada y decisiones previas del proyecto. El ZIP se usa para entender la evolución y los contratos ya diseñados; no desplaza modificaciones actuales. architecture.md actual se trata como doctrina normativa y architecture-explained.md como explicación humana no normativa.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560"/>
        <w:gridCol w:w="250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Fuente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Uso en este informe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Autoridad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Código/tests/config/Alembic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Estado ejecutable; debe verificarse durante cada task.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Máxima para comportamiento actual.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architecture.md actual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Fronteras Router → Service → CRUD → Model y transición a monolito modular.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Normativa.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fitflow_docs_v3_full.zip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Baseline histórico de SOURCE_OF_TRUTH, tasks, contexto e índice.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Histórica; no anula cambios posteriores.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Planificación inicial con IA.docx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Hipótesis de Planner/Explorer/Worker/Reviewer y Workflows.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Propuesta a rectificar.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Fuentes primarias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Capacidades actuales de modelos y herramientas.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Referencia técnica externa.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1.2 Limitaciones explícitas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El enlace compartido de ChatGPT no pudo recuperarse desde este entorno. La matriz de modelos se reconstruyó con documentación primaria y artefactos disponibles; no se atribuye contenido no leído al enlace.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No se inspeccionó en este informe el código vivo completo de backend y frontend. Por eso las rutas nuevas están marcadas como propuestas y la primera task incluye discovery obligatorio.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Los nombres y disponibilidades de modelos alojados en Copilot, OpenAI o xAI cambian. La configuración debe resolver un inventario runtime por capacidades, no depender de una lista fija en documentación canónica.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FastContext se mantiene experimental: la página del paper indica retiro posterior a su publicación. Debe medirse como adaptador opcional, no adoptarse como fundamento arquitectónico.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>Regla de honestidad operacional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20"/>
              </w:rPr>
              <w:t>Cuando una fuente no puede verificarse, el sistema debe registrar UNKNOWN/A_REVISAR. Un agente no completa huecos con suposiciones para mantener el flujo en movimiento.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1.3 Correcciones a la planificación inicial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900"/>
        <w:gridCol w:w="29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Hipótesis inicial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Corrección recomendada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Planner no necesita código real.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Puede comenzar con mapa; tareas medias/altas exigen evidencia real antes de congelar scope.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Evita planes sobre símbolos, capas o tests inexistentes.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Worker solo ve un paquete estático.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Recibe paquete y acceso de escritura acotado; reabre archivos reales antes de editar.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El paquete puede estar incompleto o stale.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Reviewer compara TASK, RESULT y diff.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Además lee código/tests reales y ejecuta gates; por defecto no corrige.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RESULT es un reporte, no una prueba.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LlamaIndex orquesta toda la ejecución desde el inicio.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Fase 1: indexación, recuperación y estados de contexto; proveedores de coding quedan desacoplados.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Reduce acoplamiento y permite evaluar retrieval por separado.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Scripts XML.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Scripts Node/TypeScript que emiten XML validable + manifest JSON.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XML transporta contexto, pero no ejecuta lógica.</w:t>
            </w:r>
          </w:p>
        </w:tc>
      </w:tr>
    </w:tbl>
    <w:p>
      <w:pPr>
        <w:pStyle w:val="Heading1"/>
        <w:keepNext/>
        <w:keepLines/>
        <w:pageBreakBefore/>
      </w:pPr>
      <w:r>
        <w:t>2. Doctrina documental y source of truth</w:t>
      </w:r>
    </w:p>
    <w:p>
      <w:pPr>
        <w:pStyle w:val="Heading2"/>
        <w:keepNext/>
        <w:keepLines/>
      </w:pPr>
      <w:r>
        <w:t>2.1 Jerarquía operativa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L0  Código + tests + configuración + migraciones vigentes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L1  Docs canónicos activos: current-state, architecture, domain, ADR, quality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L2  Registros operativos: Jira, TASK/PLAN/STATUS/RESULT, Git diff/commit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L3  Contexto derivado: RepoMap, Repomix, índice, embeddings, resúmenes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L4  Histórico: docs/archive y source material superseded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La precedencia no significa que el código defina por sí solo la intención de negocio. Código y tests responden qué existe hoy; architecture.md, domain.md y ADRs responden qué significa y qué decisión fue aceptada. Si difieren, el agente no debe corregir una fuente en silencio: crea una discrepancia A_REVISAR y deriva una task.</w:t>
      </w:r>
    </w:p>
    <w:p>
      <w:pPr>
        <w:pStyle w:val="Heading2"/>
        <w:keepNext/>
        <w:keepLines/>
      </w:pPr>
      <w:r>
        <w:t>2.2 Dos documentos, dos audiencias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60"/>
        <w:gridCol w:w="280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Superficie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Contenido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Regla de contexto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IA / normativa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Frases atómicas, MUST/MUST_NOT, tablas de dependencias, invariantes, estados, comandos y rutas verificadas.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Incluible por sección y por task; sin explicación duplicada.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Humana / explicativa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Razonamiento, ejemplos, por qué de las decisiones, tutoriales, historia y alternativas.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Excluida por defecto del indexador y de Repomix/RepoMap.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Histórica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Baselines, auditorías anteriores, source material y documentos superseded.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Solo mediante solicitud explícita de comparación histórica.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La separación recomendada conserva architecture.md como contrato técnico y mueve architecture-explained.md a docs/archive/source-material/ o a una zona docs/human/ excluida. La ubicación final debe respetar la estructura real; lo obligatorio es la clasificación machine_context=false y la exclusión explícita.</w:t>
      </w:r>
    </w:p>
    <w:p>
      <w:pPr>
        <w:pStyle w:val="Heading2"/>
        <w:keepNext/>
        <w:keepLines/>
      </w:pPr>
      <w:r>
        <w:t>2.3 Encabezado documental mínimo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---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id: architecture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status: active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audience: ai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authority: canonical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machine_context: true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supersedes: []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last_verified_revision: &lt;git-sha|pending&gt;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owner: developer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---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Para documentos humanos, audience=human y machine_context=false. Estos metadatos ayudan a filtrar, pero la lista de exclusión sigue siendo la frontera efectiva: no se debe depender de que el embedding o el modelo interpreten correctamente el front matter.</w:t>
      </w:r>
    </w:p>
    <w:p>
      <w:pPr>
        <w:pStyle w:val="Heading2"/>
        <w:keepNext/>
        <w:keepLines/>
      </w:pPr>
      <w:r>
        <w:t>2.4 Reglas canónicas que deben permanecer compactas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Dependencia backend permitida: Router → Service → CRUD → SQLAlchemy Model → PostgreSQL; schemas son contratos de frontera, no una capa lineal de persistencia.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Routers no contienen reglas de negocio ni consultas ORM; services no ejecutan ORM en código nuevo; CRUD no decide política comercial.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RRULE es la representación autorizada para recurrencia, pero su implementación debe verificarse en código/tests.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Booking requiere prevención atómica de duplicados y sobrecapacidad; cancelación no equivale a eliminación.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No se inventan rutas, herramientas, tests ni estados; cada evidencia incluye revisión y rango verificable.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Índices y embeddings nunca gobiernan una modificación; se regeneran desde la fuente.</w:t>
      </w:r>
    </w:p>
    <w:p>
      <w:pPr>
        <w:pStyle w:val="Heading1"/>
        <w:keepNext/>
        <w:keepLines/>
        <w:pageBreakBefore/>
      </w:pPr>
      <w:r>
        <w:t>3. Arquitectura física y contratos</w:t>
      </w:r>
    </w:p>
    <w:p>
      <w:pPr>
        <w:pStyle w:val="Heading2"/>
        <w:keepNext/>
        <w:keepLines/>
      </w:pPr>
      <w:r>
        <w:t>3.1 Separación de raíces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La separación milimétrica no es necesaria, pero sí la separación de responsabilidades. FitFlow contiene producto, docs y contratos de task; env_tools contiene tooling, modelos, índices y artefactos regenerables. El virtualenv backend/.venv_backend permanece dentro del árbol de producto solo como entorno local y siempre queda excluido.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5"/>
              </w:rPr>
              <w:t>C:\Proyectos Web\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├─ FitFlow\                         # source of truth del producto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│  ├─ backend\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│  │  ├─ app\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│  │  ├─ tests\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│  │  └─ .venv_backend\             # EXCLUIR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│  ├─ frontend\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│  ├─ docs\                          # canónicos + humano/histórico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│  ├─ .ai\                           # TASK/PLAN/STATUS/RESULT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│  └─ scripts\quality\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└─ env_tools\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└─ fitflow_ai\                    # propuesta: tooling externo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├─ src\fitflow_ai\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│  ├─ contracts\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│  ├─ indexing\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│  ├─ retrieval\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│  ├─ workflows\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│  ├─ adapters\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│  └─ observability\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├─ context-cli\                 # Node/TypeScript + Repomix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├─ config\scopes\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├─ schemas\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├─ tests\{unit,integration,evals}\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├─ data\staging\               # entrada temporal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├─ exports\                      # context packages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└─ storage\                      # manifest/cache regenerable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3.2 Qué significan data, staging y exports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000"/>
        <w:gridCol w:w="2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Directorio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Propósito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Persistencia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data/staging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Copias temporales normalizadas antes de parsear; nunca editar el repo desde aquí.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Borrable; no canónico.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storage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Manifest, hashes, cache de LlamaIndex, SQLite auxiliar, snapshots locales.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Regenerable; normalmente ignorado por Git.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exports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context-package.xml, context-manifest.json y reportes de eval.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Trazable por task; retención configurable.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config/scopes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Roots, includes, excludes y presupuestos para backend/frontend/mixed.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Versionado; contrato operativo.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schemas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JSON Schema/XSD/Pydantic para Context Package, eventos y resultados.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Versionado; contrato técnico.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3.3 Límites de ownership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60"/>
        <w:gridCol w:w="380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Puede leer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Puede escribir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Context CLI / indexer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Repo allowlisted, Git metadata, Qdrant.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Solo storage/exports/índice; nunca producto.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Explorer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Scope task + índice + fuente real read-only.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Context Package y hallazgos.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CoderA/B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Paquete + archivos reales dentro del scope.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Worktree/sandbox acotado y artefactos de task.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Reviewer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TASK, diff, fuente real, tests y RESULT.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Veredicto/reporte; no código por defecto.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Planner/humano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Toda evidencia necesaria.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TASK/PLAN, decisiones y promoción.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3.4 Contrato de task ampliado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id: FF-...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scope: backend | frontend | mixed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objective: &lt;resultado observable&gt;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authority_refs: [architecture#..., domain#..., ADR-...]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baseline_revision: &lt;sha&gt;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risk_score: 0..12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reasoning_level: low | medium | high | xhigh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executor_class: coderB | coderA | coderA-strong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context_budget_tokens: &lt;int&gt;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evidence_required: [paths/symbols/tests/contracts]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acceptance: [deterministic checks]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stop_conditions: [scope_growth, doctrine_conflict, stale_revision]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max_context_expansions: 2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max_implementation_retries: 2</w:t>
            </w:r>
          </w:p>
        </w:tc>
      </w:tr>
    </w:tbl>
    <w:p>
      <w:pPr>
        <w:pStyle w:val="Heading1"/>
        <w:keepNext/>
        <w:keepLines/>
        <w:pageBreakBefore/>
      </w:pPr>
      <w:r>
        <w:t>4. Contexto backend, frontend y mixto</w:t>
      </w:r>
    </w:p>
    <w:p>
      <w:pPr>
        <w:pStyle w:val="Heading2"/>
        <w:keepNext/>
        <w:keepLines/>
      </w:pPr>
      <w:r>
        <w:t>4.1 Entrada obligatoria: clasificación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Toda ejecución comienza preguntando o determinando explícitamente si el problema es backend, frontend o mixed. Si el objetivo o la evidencia no permiten clasificarlo, el estado es NEEDS_SCOPE y el sistema no genera un bundle amplio por comodidad.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500"/>
        <w:gridCol w:w="346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Scope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Incluye por defecto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Ejemplos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backend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backend/app, tests relevantes, Alembic/config, secciones canónicas necesarias.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Booking, RRULE, autorización, CRUD, OpenAPI server.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frontend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frontend/src, tests/config/package, clientes API y secciones UI/contrato necesarias.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Componente, store, formulario, rutas, accesibilidad.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mixed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Contrato compartido + slice mínimo de ambos lados; no unión completa.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Cambio de endpoint y consumidor, error contract, DTO y pantalla.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4.2 Un CLI, tres funciones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npm run context:backend  -- --task FF-123 --query "..."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npm run context:frontend -- --task FF-124 --query "..."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npm run context:mixed    -- --task FF-125 --query "..."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Los tres comandos llaman al mismo motor build-context.mjs con perfiles declarativos. Esto evita tres implementaciones divergentes y permite cambiar presupuesto, exclusiones o combinación de fuentes sin reescribir el workflow.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buildContext({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taskId,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scope: 'backend' | 'frontend' | 'mixed',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query,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baselineRevision,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budgetTokens,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output: { xml: true, manifestJson: true }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})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4.3 Capas del paquete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000"/>
        <w:gridCol w:w="31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Capa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Contenido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C0 Task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Objetivo, scope, restricciones, aceptación, riesgo.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TASK schema válido.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C1 Doctrina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Solo secciones relevantes de AGENTS/docs/ADR.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machine_context=true + allowlist.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C2 Estructura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RepoMap global reducido + mapa scoped + símbolos/relaciones.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Token budget y revisión Git.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C3 Candidatos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rg/AST/graph/semantic; ranking y motivo.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No se presentan como verdad.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C4 Evidencia real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Fragmentos leídos del snapshot objetivo.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Ruta, rango, hash y provenance.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C5 Validación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Comandos, tests, diff y resultados al cerrar.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Estados normalizados.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4.4 RepoMap + Repomix + retrieval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RepoMap aporta orientación estructural y priorización por dependencias; Repomix produce un snapshot textual/XML con includes, excludes, token counts y protección de secretos. Ninguno debe decidir por sí solo qué editar. La secuencia recomendada es: mapa global pequeño → mapa scoped → búsqueda literal/simbólica → semantic candidates si aportan recall → lectura real → paquete final.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TASK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RepoMap global (pequeño)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perfil backend|frontend|mixed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RepoMap scoped + rg/AST/relations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Qdrant/EmbeddingGemma (opcional, candidatos)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apertura de archivos reales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Repomix XML limitado a evidencia seleccionada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context-package.xml + context-manifest.json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4.5 Contrato XML propuesto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5"/>
              </w:rPr>
              <w:t>&lt;context_package version="1.0" task_id="FF-125" scope="mixed"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baseline_revision="&lt;sha&gt;" generator="fitflow-context/0.1.0"&gt;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&lt;task_contract objective="..." risk_score="6" /&gt;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&lt;authority&gt;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&lt;ref path="docs/architecture.md" section="..." hash="..." /&gt;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&lt;/authority&gt;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&lt;evidence&gt;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&lt;item path="backend/app/...py" symbol="..." start="40" end="88"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    source="symbol" score="0.92" hash="..." reason="..." /&gt;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&lt;/evidence&gt;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&lt;relations /&gt;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&lt;constraints /&gt;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&lt;validation_commands /&gt;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&lt;excluded count="..." /&gt;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 xml:space="preserve">  &lt;budget tokens_used="..." tokens_max="..." /&gt;</w:t>
            </w:r>
            <w:r>
              <w:br/>
            </w:r>
            <w:r>
              <w:rPr>
                <w:rFonts w:ascii="Consolas" w:hAnsi="Consolas"/>
                <w:color w:val="111827"/>
                <w:sz w:val="15"/>
              </w:rPr>
              <w:t>&lt;/context_package&gt;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El XML es el artefacto optimizado para el LLM. El JSON sidecar contiene la misma provenance en forma cómoda para validadores y diffs. Ambos se validan contra schema, y el hash del contenido evita que una evidencia stale parezca vigente.</w:t>
      </w:r>
    </w:p>
    <w:p>
      <w:pPr>
        <w:pStyle w:val="Heading1"/>
        <w:keepNext/>
        <w:keepLines/>
        <w:pageBreakBefore/>
      </w:pPr>
      <w:r>
        <w:t>5. Roles, razonamiento y matriz de modelos</w:t>
      </w:r>
    </w:p>
    <w:p>
      <w:pPr>
        <w:pStyle w:val="Heading2"/>
        <w:keepNext/>
        <w:keepLines/>
      </w:pPr>
      <w:r>
        <w:t>5.1 Roles necesarios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Rol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Responsabilidad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No puede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Planner/Audit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Define objetivo, riesgo, evidencia, gates y plan; reconcilia doctrina con humano.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Inventar implementación o ampliar MVP.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Explorer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Localiza paths/símbolos/rangos; produce paquete neutral read-only.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Editar o declarar un defecto sin evidencia.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M-Explorer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Exploración situacional rápida/semántica con FastContext u otro adaptador.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Ser ruta única ni fuente de verdad.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CoderA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Implementa tareas medias/altas dentro del scope y tests asociados.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Cambiar arquitectura/dominio sin gate.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CoderB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Cambios básicos, mecánicos y reversibles con DoD exacto.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Tocar concurrencia, auth, migraciones o negocio ambiguo.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Reviewer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Revisión independiente de TASK, diff, fuente real y validaciones.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Editar por defecto; su FAIL vuelve al coder.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Validator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Ejecuta comandos deterministas y normaliza PASS/FAIL/UNAVAILABLE.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Interpretar intención de negocio.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Context Assembler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Fusiona/rankea evidencia y aplica presupuesto.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Usar generación libre donde basta código.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Security/Transaction Reviewer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Gate especializado para auth, Booking, migraciones y datos.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Ser omitido por presión de tiempo.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Doc Curator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Propone promoción a docs canónicos si cambió conocimiento durable.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Convertir RESULT en doctrina automáticamente.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5.2 Score de riesgo y asignación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Cada dimensión puntúa 0 (bajo), 1 (medio) o 2 (alto): scope, ambigüedad de dominio, riesgo de datos/transacción, seguridad, reversibilidad/migración y confiabilidad del baseline de tests.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3000"/>
        <w:gridCol w:w="33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Score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Ejecutor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Razonamiento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Gates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0–3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CoderB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low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Targeted tests + reviewer ligero.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4–7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CoderA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medium/high según dimensión crítica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Plan validado + reviewer independiente.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8–12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CoderA fuerte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high/xhigh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Humano + reviewer fuerte + gate especializado.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>Reglas de elevación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20"/>
              </w:rPr>
              <w:t>Una task mixed tiene score mínimo 4. Cualquier cambio en Booking atómico, autorización, secretos, Alembic destructivo o frontera arquitectónica eleva el razonamiento a high y exige aprobación humana, aunque el diff sea pequeño.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5.3 Mapa LLM / función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50"/>
        <w:gridCol w:w="1200"/>
        <w:gridCol w:w="391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Capacidad/modelo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Rol preferido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Nivel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Uso y límites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GPT superior disponible (p. ej. GPT-5.6 Sol)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Planner/Audit, CoderA fuerte, reviewer crítico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high–xhigh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Ambigüedad, multiarchivo, arquitectura, transacciones, seguridad y validación compleja.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GPT balanceado (p. ej. Terra)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Explorer, CoderA medio, reviewer normal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medium–high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Default cloud para tareas acotadas; buen equilibrio de costo y cobertura.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GPT económico (p. ej. Luna)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CoderB, clasificación, resúmenes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low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Solo tareas estrechas y repetibles con schema y aceptación exactos.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Qwen2.5-Coder 7B local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CoderA local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medium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Código acotado, fixes y tests; promover por evals reales de FitFlow, no por tamaño nominal.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Qwen2.5-Coder 3B local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CoderB / triage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low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Boilerplate, docs técnicas, clasificación y cambios monofichero de bajo riesgo.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DeepSeek-R1 Distill Llama 8B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Reviewer local / segunda opinión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high guiado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Útil para razonamiento offline; rubricar salida para controlar repetición, mezcla de idioma y conclusiones no verificadas.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Grok razonante disponible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Reviewer alternativo / audit adversarial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high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Diversidad de segunda opinión; fijar capacidades en config runtime porque nombres cambian.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GitHub Copilot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Superficie/provider broker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según modelo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No tratarlo como un LLM único; registrar modelo real, cliente y policy usados en cada ejecución.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FastContext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M-Explorer situacional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n/a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Solo read-only y experimental; benchmark contra RepoMap+rg+índice antes de habilitarlo por defecto.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EmbeddingGemma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Embeddings/retrieval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n/a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5"/>
              </w:rPr>
              <w:t>No genera código; indexa query/document con metadata, filtros y revisión/versionado.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/>
          <w:i/>
          <w:color w:val="5F6B7A"/>
          <w:sz w:val="16"/>
        </w:rPr>
        <w:t>Fuentes: documentación oficial de OpenAI/Codex, Qwen, DeepSeek, GitHub Copilot, Google Gemma y página del paper FastContext. Véase Fuentes [S1]–[S8].</w:t>
      </w:r>
    </w:p>
    <w:p>
      <w:pPr>
        <w:pStyle w:val="Heading2"/>
        <w:keepNext/>
        <w:keepLines/>
      </w:pPr>
      <w:r>
        <w:t>5.4 Política de selección runtime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select_model(task):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classify scope + risk + evidence quality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filter providers by availability, privacy and tool support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choose capability class, not a hard-coded brand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record provider/model/version/reasoning_level in RUN manifest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forbid downgrade when task has a critical dimension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require independent reviewer family for high-risk tasks when possible</w:t>
            </w:r>
          </w:p>
        </w:tc>
      </w:tr>
    </w:tbl>
    <w:p>
      <w:pPr>
        <w:pStyle w:val="Heading1"/>
        <w:keepNext/>
        <w:keepLines/>
        <w:pageBreakBefore/>
      </w:pPr>
      <w:r>
        <w:t>6. Flujo orquestado, estados y casos de uso</w:t>
      </w:r>
    </w:p>
    <w:p>
      <w:pPr>
        <w:pStyle w:val="Heading2"/>
        <w:keepNext/>
        <w:keepLines/>
      </w:pPr>
      <w:r>
        <w:t>6.1 Flujo nominal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Planner + desarrollador validan TASK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Explorer produce Context Package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CoderA | CoderB reabre fuente y ejecuta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Validator ejecuta gates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-&gt; Reviewer independiente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  -&gt; PASS -&gt; PENDING_APPROVAL -&gt; DONE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  -&gt; NEED_MORE_CONTEXT -&gt; Explorer -&gt; mismo coder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  -&gt; FIX_WITHIN_SCOPE -&gt; coder -&gt; validator -&gt; reviewer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  -&gt; PLAN_INVALID / DOCTRINE_CONFLICT -&gt; Planner + humano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6.2 Máquina de estados recomendada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Estado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Entrada mínima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Salida permitida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DRAFT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Problema preliminar.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HUMAN_VALIDATION.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HUMAN_VALIDATION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Objetivo/scope/riesgo propuestos.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READY o BLOCKED.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READY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TASK válido + baseline.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EXPLORING.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EXPLORING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Scope y presupuesto.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CONTEXT_READY, NEEDS_SCOPE o BLOCKED.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CONTEXT_READY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Paquete válido y no stale.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EXECUTING.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EXECUTING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Workspace acotado + evidencia.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VALIDATING, NEED_MORE_CONTEXT o REPLAN.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VALIDATING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Diff + comandos aplicables.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REVIEWING o EXECUTING.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REVIEWING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TASK + diff + código + gates.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PENDING_APPROVAL, EXECUTING, EXPLORING o REPLAN.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PENDING_APPROVAL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PASS + RESULT + impacto docs.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DONE o REJECTED.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DONE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Promoción humana/automatizada permitida.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Reindexar revisión final.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6.3 Límites de bucle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Máximo dos expansiones de contexto. La tercera necesidad cambia a REPLAN/BLOCKED con explicación de qué contrato fue insuficiente.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Máximo dos ciclos de implementación por la misma causa. Un failure distinto puede abrir una nueva task, no ocultarse como retry.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Cada transición requiere event_id, task_id, baseline_revision, actor, timestamp, input_hash, output_hash y reason_code.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Si el árbol está sucio, registrar base_revision + working_tree_fingerprint. Nunca etiquetar cambios no commiteados solo con el SHA base.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Un reviewer FAIL no puede promoverse por mayoría de agentes; solo el humano o un gate definido puede resolver la excepción.</w:t>
      </w:r>
    </w:p>
    <w:p>
      <w:pPr>
        <w:pStyle w:val="Heading2"/>
        <w:keepNext/>
        <w:keepLines/>
      </w:pPr>
      <w:r>
        <w:t>6.4 Casos de uso y resolución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500"/>
        <w:gridCol w:w="26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Caso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Respuesta del sistema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Falta un archivo o símbolo esperado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Explorer busca por texto/grafo; si no existe, registra evidencia negativa.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CONTEXT_READY o REPLAN.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Docs dicen target; código no lo implementa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Clasifica Accepted/Pending Implementation; no lo marca Done.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Planner/humano.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Coder descubre impacto frontend en task backend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Detiene escritura, registra SCOPE_GROWTH y propone mixed/new task.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REPLAN.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Tests no pueden correr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Validator devuelve UNAVAILABLE con causa/comando; reviewer evalúa riesgo residual.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BLOCKED o aprobación humana.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Índice devuelve evidencia de otra revisión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Stale check falla; reindex o lectura live.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EXPLORING.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Reviewer pide más contexto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Formula missing_evidence, no una solicitud abierta; Explorer amplía dentro de budget.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EXPLORING.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Cambio crítico de Booking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Eleva score, activa transaction reviewer y targeted concurrency tests.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REVIEWING especializado.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Dos agentes quieren editar la misma zona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Lock conceptual/task ownership; una lane espera o usa task distinta.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BLOCKED temporal.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6.5 Salida estructurada del reviewer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verdict: PASS | FAIL | NEED_MORE_CONTEXT | REPLAN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findings: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severity: critical | high | medium | low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path: &lt;real path&gt;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line: &lt;line&gt;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evidence: &lt;short factual statement&gt;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required_action: &lt;deterministic next step&gt;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validation: {pytest: PASS|..., lint: ..., type: ...}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scope_compliance: PASS | FAIL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doctrine_conflict: true | false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residual_risk: &lt;short&gt;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next_state: &lt;state&gt;</w:t>
            </w:r>
          </w:p>
        </w:tc>
      </w:tr>
    </w:tbl>
    <w:p>
      <w:pPr>
        <w:pStyle w:val="Heading1"/>
        <w:keepNext/>
        <w:keepLines/>
        <w:pageBreakBefore/>
      </w:pPr>
      <w:r>
        <w:t>7. LlamaIndex, Qdrant, RepoMap y Repomix</w:t>
      </w:r>
    </w:p>
    <w:p>
      <w:pPr>
        <w:pStyle w:val="Heading2"/>
        <w:keepNext/>
        <w:keepLines/>
      </w:pPr>
      <w:r>
        <w:t>7.1 Responsabilidad de cada pieza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600"/>
        <w:gridCol w:w="27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Pieza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Responsabilidad inicial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No es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RepoMap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Mapa de símbolos y dependencias priorizado por budget.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Contrato neutral ni evidencia final.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Repomix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Empaquetado XML reproducible con includes/excludes y conteo de tokens.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Motor de ranking o fuente de verdad.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LlamaIndex IngestionPipeline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Carga, transformación, cache/hash, dedupe y upsert.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Agente coder.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LlamaIndex Workflows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Eventos tipados, pasos async, ramas, loops y estado de contexto.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Autorización para merge.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Qdrant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Vectores, payload, filtros, alias y recuperación.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Base transaccional de FitFlow.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EmbeddingGemma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Representación query/document para recuperación multilingüe/código.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Modelo de razonamiento.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rg/AST/graph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Precisión literal/simbólica y relaciones verificables.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Capa opcional: debe estar desde v1.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/>
          <w:i/>
          <w:color w:val="5F6B7A"/>
          <w:sz w:val="16"/>
        </w:rPr>
        <w:t>Fuentes: LlamaIndex Workflows e IngestionPipeline [S9–S11], Qdrant [S12–S15], RepoMap/Repomix [S16–S19].</w:t>
      </w:r>
    </w:p>
    <w:p>
      <w:pPr>
        <w:pStyle w:val="Heading2"/>
        <w:keepNext/>
        <w:keepLines/>
      </w:pPr>
      <w:r>
        <w:t>7.2 Diseño del índice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El índice debe comenzar estructural y lexical. La capa semántica mejora recall conceptual, pero no compensa un manifest defectuoso. Los chunks se forman por símbolo Python, heading de Markdown y unidad TS/TSX cuando exista parser estable; no por ventanas arbitrarias que corten funciones.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 de payload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repo_id, baseline_revision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Identidad del snapshot.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corpus, scope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canonical_docs, backend_code, frontend_code, tests, task_records.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authority_layer, canonical_status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Filtrar verdad activa vs derivada/histórica.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path, symbol_id, language, layer, domain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Navegación y filtros.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start_line, end_line, content_hash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Provenance y stale detection.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indexer_version, embedding_model, embedding_version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Reproducibilidad y migración.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machine_context, secret_scan_status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Exclusión y control de ingestión.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7.3 Colección Qdrant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Para un proyecto local pequeño y un único embedding model, conviene comenzar con una colección física versionada y partición lógica por payload. Esto habilita consultas mixed sin fan-out manual. Si mediciones muestran contaminación entre corpora o aparecen permisos distintos, se divide después.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collection: fitflow_context_v1_embeddinggemma_768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alias:      fitflow_context_active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payload:    corpus=canonical_docs|backend_code|frontend_code|tests|tasks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filters:    scope + authority_layer + machine_context + baseline_revision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indexes:    payload indexes creados antes de la ingestión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migration:  nueva colección -&gt; smoke/eval -&gt; switch atómico de alias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EmbeddingGemma soporta embeddings de 768 dimensiones y truncaciones menores; el punto de partida recomendado es 768 para evitar optimizar antes de medir. Deben respetarse sus modos query/document y sus prompts para retrieval de código. La configuración exacta se guarda en embedding_version.</w:t>
      </w:r>
    </w:p>
    <w:p>
      <w:pPr>
        <w:pStyle w:val="Heading2"/>
        <w:keepNext/>
        <w:keepLines/>
      </w:pPr>
      <w:r>
        <w:t>7.4 Retrieval y ranking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candidates = union(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exact_text_rg(query),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symbol_search(query),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graph_expand(seed_symbols),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dense_semantic(query, filters)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rerank by: exact match + structural relation + authority + recency + semantic score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dedupe by: path + symbol_id + content_hash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finalize: open real files -&gt; line ranges -&gt; XML/JSON package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La búsqueda híbrida dense+sparse de Qdrant puede incorporarse después del baseline. Antes se necesita un set dorado: sin consultas y expected evidence no hay manera de saber si el híbrido mejora o solo agrega complejidad.</w:t>
      </w:r>
    </w:p>
    <w:p>
      <w:pPr>
        <w:pStyle w:val="Heading2"/>
        <w:keepNext/>
        <w:keepLines/>
      </w:pPr>
      <w:r>
        <w:t>7.5 Workflow tipado de LlamaIndex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100"/>
        <w:gridCol w:w="30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Evento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Handler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Salida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TaskReady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classify_scope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ScopeResolved / NeedsScope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ScopeResolved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build_structural_context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CandidatesReady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CandidatesReady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semantic_expand_optional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EvidenceCandidates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EvidenceCandidates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verify_real_source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EvidenceVerified / StaleIndex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EvidenceVerified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assemble_context_package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ContextReady / BudgetExceeded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ContextReady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dispatch_executor_adapter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ExecutionResult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ExecutionResult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run_validators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ValidationResult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ValidationResult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dispatch_reviewer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ReviewResult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ReviewResult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route_decision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Done / Explore / Execute / Replan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Límite de fase 1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20"/>
              </w:rPr>
              <w:t>Implementar y probar los primeros cinco eventos hasta ContextReady. Los adapters de ejecución/review pueden definirse como interfaces y mocks; conectar modelos reales solo después de estabilizar el paquete.</w:t>
            </w:r>
          </w:p>
        </w:tc>
      </w:tr>
    </w:tbl>
    <w:p>
      <w:pPr>
        <w:pStyle w:val="Heading1"/>
        <w:keepNext/>
        <w:keepLines/>
        <w:pageBreakBefore/>
      </w:pPr>
      <w:r>
        <w:t>8. MCP, hooks, observabilidad y Promptfoo</w:t>
      </w:r>
    </w:p>
    <w:p>
      <w:pPr>
        <w:pStyle w:val="Heading2"/>
        <w:keepNext/>
        <w:keepLines/>
      </w:pPr>
      <w:r>
        <w:t>8.1 Hooks: qué automatizar primero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Momento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Hook/acción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Política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SessionStart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Inyectar task id, scope, baseline y rutas allowlisted.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Contexto breve y determinista.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PreToolUse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Bloquear paths secretos, archive por defecto y comandos destructivos.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Síncrono para policies duras.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PostToolUse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Registrar paths leídos/editados y fingerprints.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Trazabilidad, no narrativa.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SubagentStart/Stop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Registrar rol, modelo, budget, entrada y salida.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Sin compartir transcripts completos.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Stop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Exigir RESULT y estado de validaciones aplicables.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No marcar Done por salida natural del modelo.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/>
          <w:i/>
          <w:color w:val="5F6B7A"/>
          <w:sz w:val="16"/>
        </w:rPr>
        <w:t>Referencia de eventos y comportamiento de hooks: Codex Hooks [S3].</w:t>
      </w:r>
    </w:p>
    <w:p>
      <w:pPr>
        <w:pStyle w:val="Heading2"/>
        <w:keepNext/>
        <w:keepLines/>
      </w:pPr>
      <w:r>
        <w:t>8.2 MCP: cuándo y cómo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MCP estandariza herramientas; no reduce tokens por sí solo ni vuelve confiable un índice. El piloto debe ser local, read-only y con transporte stdio. Las herramientas devuelven estructuras compactas y paths/rangos, no dumps completos.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find_symbol(query, scope)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get_symbol(id)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find_relations(id, relation_type?)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get_dependencies(id)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get_dependents(id)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search_context(query, scope, budget)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get_context_bundle(task_id, scope, budget)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Gate 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Criterio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Índice estable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Incremental, stale detection, deletes y alias probados.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Retrieval medido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Set dorado sin misses críticos y provenance completa.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Testing confiable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Gates del proyecto reportan estados reproducibles.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Seguridad local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Roots allowlisted, secretos excluidos, stdio/local-only.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Contrato compacto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Schemas estables y outputs dentro de budget.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8.3 Promptfoo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Promptfoo entra cuando existe una función reproducible que evaluar. Primero se separa retrieval de generación: context recall/precision y provenance por un lado; corrección del plan/código/review por otro. Luego se agregan matrices por provider/model y red-team de coding agents/MCP en workspaces desechables.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5000"/>
        <w:gridCol w:w="2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Suite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Métrica/gate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Momento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Retrieval golden set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Recall@k, MRR, context precision, critical miss rate, tokens, latencia.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Antes de MCP.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Context Package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Schema, provenance, stale check, exclusiones, budget.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Desde fase 1.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Role routing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Modelo/razonamiento correcto para risk score.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Antes de agentes reales.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Reviewer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Detección de defectos sembrados y falsos positivos.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Antes de promoción automática.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Red-team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Prompt injection de repo, terminal injection, exfiltración, MCP poisoning.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Piloto aislado posterior.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/>
          <w:i/>
          <w:color w:val="5F6B7A"/>
          <w:sz w:val="16"/>
        </w:rPr>
        <w:t>Métricas y escenarios basados en guías oficiales de Promptfoo para RAG, coding agents y MCP [S22–S24].</w:t>
      </w:r>
    </w:p>
    <w:p>
      <w:pPr>
        <w:pStyle w:val="Heading2"/>
        <w:keepNext/>
        <w:keepLines/>
      </w:pPr>
      <w:r>
        <w:t>8.4 Observabilidad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Comenzar con eventos JSONL/OpenTelemetry: task, estado, actor, provider/model, reasoning, tokens, latencia, hashes, paths y verdict.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Elegir Phoenix o Braintrust después de comparar operación local, privacidad y costo. No introducir ambas plataformas en el MVP del tooling.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Separar logs locales completos de artefactos de task. El contexto normal recibe resúmenes y referencias, no transcripts.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No registrar secretos ni contenido completo de archivos sensibles; conservar hashes y metadatos cuando alcance.</w:t>
      </w:r>
    </w:p>
    <w:p>
      <w:pPr>
        <w:pStyle w:val="Heading1"/>
        <w:keepNext/>
        <w:keepLines/>
        <w:pageBreakBefore/>
      </w:pPr>
      <w:r>
        <w:t>9. Plan de ejecución rectificado</w:t>
      </w:r>
    </w:p>
    <w:p>
      <w:pPr>
        <w:pStyle w:val="Heading2"/>
        <w:keepNext/>
        <w:keepLines/>
      </w:pPr>
      <w:r>
        <w:t>9.1 Secuencia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00"/>
        <w:gridCol w:w="26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Fase / task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Entregable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Gate de salida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0 · FF-AI-000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Congelar contratos: source of truth, docs AI/humano, excludes, schemas y set dorado inicial.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Desarrollador aprueba doctrina y 15–25 consultas.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1 · FF-AI-001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Context CLI Node con backend/frontend/mixed; Repomix XML + manifest JSON; lectura real.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Bundles válidos, scoped y no stale.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2 · FF-AI-002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Manifest estructural, Python AST, Markdown headings, relaciones y hashes incrementales.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Discovery reproducible y tests de upsert/delete.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3 · FF-AI-003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LlamaIndex IngestionPipeline + EmbeddingGemma + Qdrant + alias.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Health, filtros, exclusiones, incremental y rollback.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4 · FF-AI-004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Fusión lexical/symbol/graph/dense y evaluación del set dorado.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Umbral acordado y cero misses críticos.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5 · FF-AI-005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Workflow tipado, retries, locks, adapters mock y trazas.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Transiciones y stop conditions probadas.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6 · FF-AI-006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Promptfoo para retrieval, routing, reviewer y red-team aislado.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Baseline versionado y regresiones visibles.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7 · FF-AI-007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MCP stdio read-only con tools compactas.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GO/NO-GO satisfecho; sin exposición remota.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8 · FF-AI-008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Piloto end-to-end sobre una task 0–3 de riesgo.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Humano aprueba resultado y postmortem.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9.2 Dependencias y paralelismo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FF-AI-001 puede comenzar inmediatamente porque todas las dependencias están instaladas y no requiere Qdrant funcional para demostrar el contrato. FF-AI-002 puede avanzar en paralelo tras aprobar schemas. FF-AI-003 depende del manifest y de la decisión de colección. MCP y Promptfoo no deben adelantar al set dorado ni a stale detection.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FF-AI-000 -&gt; FF-AI-001 -&gt; FF-AI-004 -&gt; FF-AI-005 -&gt; FF-AI-006 -&gt; FF-AI-007 -&gt; FF-AI-008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        \-&gt; FF-AI-002 -&gt; FF-AI-003 -/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9.3 Criterios de priorización frente al producto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El tooling no bloquea el MVP de FitFlow ni desplaza el cierre de ClassSchedule/RRULE, Booking atómico y endpoints críticos.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Cada fase del tooling debe ser útil por sí misma: un CLI de contexto funcional vale aunque LlamaIndex todavía no esté conectado.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No crear microservicios, brokers ni CQRS para orquestar agentes; un proceso local y módulos desacoplados son suficientes.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No indexar datos reales de clientes/gimnasio. El corpus es código, tests, docs activos, config no secreta y tasks autorizadas.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La promoción de docs canónicos ocurre solo cuando una task cambia conocimiento durable y el desarrollador lo valida.</w:t>
      </w:r>
    </w:p>
    <w:p>
      <w:pPr>
        <w:pStyle w:val="Heading2"/>
        <w:keepNext/>
        <w:keepLines/>
      </w:pPr>
      <w:r>
        <w:t>9.4 Métricas de éxito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Dimensión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Métrica inicial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Calidad de contexto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Recall@5 y MRR en golden queries; cero critical misses aceptados.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Economía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Tokens finales del bundle y reducción de lecturas repetidas del coder.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Trazabilidad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% de evidencias con path/rango/hash/revisión; objetivo 100 %.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Frescura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% de bundles rechazados correctamente ante cambio de revisión.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Operación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Tiempo warm p50/p95 por scope y tasa de UNAVAILABLE.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Ejecución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First-pass review rate por clase de riesgo y modelo.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Seguridad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8"/>
              </w:rPr>
              <w:t>Cero archivos secretos/venvs/archive humano en bundles normales.</w:t>
            </w:r>
          </w:p>
        </w:tc>
      </w:tr>
    </w:tbl>
    <w:p>
      <w:pPr>
        <w:pStyle w:val="Heading1"/>
        <w:keepNext/>
        <w:keepLines/>
        <w:pageBreakBefore/>
      </w:pPr>
      <w:r>
        <w:t>10. Task propuesta: FF-AI-001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Objetivo de la task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20"/>
              </w:rPr>
              <w:t>Implementar el primer pipeline funcional de contexto FitFlow: clasificación backend/frontend/mixed, snapshot scoped con RepoMap/Repomix, verificación contra archivos reales y salida Context Package XML + manifest JSON. LlamaIndex queda integrado en esta task como workflow tipado y punto de extensión de retrieval; la ingestión vectorial completa se cierra en FF-AI-003.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10.1 Metadatos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id: FF-AI-001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title: Context pipeline v1 + LlamaIndex workflow skeleton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status: Ready after human validation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priority: High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area: ai-tooling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execution_lane: mixed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type: tooling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scope: mixed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risk_score: 6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reasoning_level: high for design, medium for implementation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executor_class: coderA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reviewer: independent coderA/reviewer strong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baseline_revision: discover at start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10.2 Scope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Descubrir y registrar las rutas reales de FitFlow y env_tools sin inventarlas.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Crear perfiles de scope backend, frontend y mixed con includes, excludes y budgets.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Invocar Repomix desde Node/TypeScript y producir XML limitado a evidencia seleccionada.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Definir ContextPackage y ContextManifest con schema/versionado/provenance.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Implementar discovery de Git revision y working-tree fingerprint.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Integrar RepoMap o un adaptador RepoMap-like como pista estructural; conservar contrato neutral.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Crear workflow LlamaIndex tipado hasta ContextReady con adapters de retrieval intercambiables.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Implementar lectura real de fragmentos seleccionados y stale checks.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Agregar tests unitarios e integración local sin requerir un LLM cloud.</w:t>
      </w:r>
    </w:p>
    <w:p>
      <w:pPr>
        <w:pStyle w:val="Heading2"/>
        <w:keepNext/>
        <w:keepLines/>
      </w:pPr>
      <w:r>
        <w:t>10.3 Fuera de scope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Orquestar coder/reviewer reales o realizar merges automáticos.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Implementar servidor MCP, transporte remoto o tools de escritura.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Completar embeddings/Qdrant productivos; solo interfaces y fake/local adapter si se necesitan.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Modificar backend/frontend funcional salvo contratos .ai/docs explícitamente aprobados.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Indexar docs/archive, architecture-explained, .venv_backend, node_modules, .env, binarios o datos de negocio.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Agregar Phoenix y Braintrust simultáneamente.</w:t>
      </w:r>
    </w:p>
    <w:p>
      <w:pPr>
        <w:pStyle w:val="Heading2"/>
        <w:keepNext/>
        <w:keepLines/>
      </w:pPr>
      <w:r>
        <w:t>10.4 Entregables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Entregable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Contenido mínimo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CLI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context backend|frontend|mixed --task --query --budget --out.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Configs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Roots, includes, excludes, authority filters y budgets por scope.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Schemas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ContextPackage XML/XSD opcional + manifest JSON Schema/Pydantic.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Workflow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TaskReady → ScopeResolved → CandidatesReady → EvidenceVerified → ContextReady.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Adapters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RepoMap, Repomix, literal/symbol y semantic stub bajo interfaces.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Provenance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SHA, dirty fingerprint, path, lines, hash, source y reason.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Tests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Scope, exclusions, stale revision, deterministic IDs, token budget y failure states.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Docs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7"/>
              </w:rPr>
              <w:t>README de operación y ADR solo si cambia una decisión durable.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10.5 Criterios de aceptación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Los tres scopes generan paquetes distintos desde la misma revisión y no incluyen roots fuera de su allowlist.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backend/.venv_backend, node_modules, docs/archive, architecture-explained, .env*, secretos y artefactos generados quedan excluidos y reportados.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Cada evidence item contiene path real, rango, content_hash, baseline_revision, source, score/reason y autoridad documental cuando aplica.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El paquete falla de forma explícita ante revisión stale, archivo inexistente, scope ambiguo o budget imposible.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La salida es determinista para la misma entrada/snapshot, salvo campos de tiempo separados del hash semántico.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El coder simulado puede obtener los archivos objetivo de al menos 15 consultas doradas sin leer todo el repo.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No hay dependencia runtime desde backend/app o frontend hacia env_tools.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Tests unitarios e integración reportan PASS/FAIL/UNAVAILABLE y generan un RESULT técnico.</w:t>
      </w:r>
    </w:p>
    <w:p>
      <w:pPr>
        <w:pStyle w:val="Heading2"/>
        <w:keepNext/>
        <w:keepLines/>
      </w:pPr>
      <w:r>
        <w:t>10.6 Consultas doradas iniciales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550"/>
        <w:gridCol w:w="361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Scope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Consulta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Evidencia esperada (categoría)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backend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¿Dónde se impide el overbooking y el duplicado de Booking?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Service/CRUD/model/tests/transacción.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backend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¿Cuál es la implementación real de RRULE y qué falta?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ClassSchedule schema/service/model/tests/ADR.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backend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¿Qué routers aún llaman CRUD directamente?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Routers + imports/calls + architecture.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frontend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¿Dónde se consume el endpoint de reservas y se tipa su respuesta?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API client/types/store/component/tests.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frontend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¿Cómo se muestran errores 409/422 del backend?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Cliente HTTP, UI state, tests.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mixed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Cambiar el contrato de crear booking sin romper el consumidor.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Schema/router/OpenAPI + frontend client/types/UI.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mixed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Trazar ClassSchedule desde persistencia hasta pantalla.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Model→CRUD→service→router→client→view.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docs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¿Qué documento gobierna la arquitectura y cuál es solo explicación?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architecture.md + metadata/exclusion.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10.7 Validaciones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pytest tests/unit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pytest tests/integration -m local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npm test --prefix context-cli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npm run context:backend -- --task FF-AI-001 --query "Booking overbooking"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npm run context:frontend -- --task FF-AI-001 --query "booking API client"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npm run context:mixed -- --task FF-AI-001 --query "booking contract"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validate-context exports/FF-AI-001/context-package.xml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evaluate-golden-set --scope all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Los nombres exactos de comandos se confirman al crear el proyecto de tooling. La task debe registrar los comandos reales adoptados y no copiar estos placeholders como si ya existieran.</w:t>
      </w:r>
    </w:p>
    <w:p>
      <w:pPr>
        <w:pStyle w:val="Heading2"/>
        <w:keepNext/>
        <w:keepLines/>
      </w:pPr>
      <w:r>
        <w:t>10.8 Resumen técnico estructurado esperado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result: Completed | Partial | Blocked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baseline: &lt;sha + dirty fingerprint&gt;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scope_profiles: [backend, frontend, mixed]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files_changed: [path + purpose]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contracts_created: [name + version]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golden_eval: {queries, recall_at_5, critical_misses, tokens_p50, latency_p95}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validations: {unit, integration, node, smoke, schema}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excluded_paths_verified: true|false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risks: [...]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decisions_required: [...]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next_task: FF-AI-002 | FF-AI-003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11. Riesgos, controles y decisiones pendientes</w:t>
      </w:r>
    </w:p>
    <w:p>
      <w:pPr>
        <w:pStyle w:val="Heading2"/>
        <w:keepNext/>
        <w:keepLines/>
      </w:pPr>
      <w:r>
        <w:t>11.1 Registro de riesgos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Riesgo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Impacto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Contexto stale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Edición sobre estructura anterior.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Revision/hash por evidencia; fail closed.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Sobreempaquetado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Costo, ruido y contradicciones.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Budgets, ranking, scopes y exclusión humana/histórica.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Falsa confianza semántica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Resultado relevante pero incorrecto.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Lectura real y combinación literal/symbol/graph.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CoderB excede capacidad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Regresión silenciosa.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Risk score, denylist crítica y reviewer independiente.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Loops de agentes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Costo y deriva de scope.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Máximo dos retries/expansiones y reason codes.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Tooling invade producto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Acoplamiento y deuda.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env_tools separado y no imports desde runtime.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Prompt injection en repo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Comandos o exfiltración.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Treat repo text as data, hooks, sandbox/worktree y red-team.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MCP expuesto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Superficie remota innecesaria.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stdio/local-only, read-only, allowlist, GO/NO-GO.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Modelo/proveedor cambia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Routing inválido.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Capability registry runtime y evals versionados.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Docs duplicadas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Contexto contradictorio.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111827"/>
                <w:sz w:val="16"/>
              </w:rPr>
              <w:t>audience/machine_context + canonical owner + archive policy.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11.2 Decisiones que debe validar el desarrollador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Nombre y ubicación exacta del proyecto fitflow_ai dentro de env_tools.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Ruta final para documentación humana: docs/human o docs/archive/source-material, manteniendo machine_context=false.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Colección única Qdrant con payload por corpus vs colecciones separadas; recomendación inicial: una por embedding version.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Presupuestos iniciales de contexto por scope y modelo; comenzar conservador y medir.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Set dorado de 15–25 consultas y definición de critical miss.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Proveedor/modelo cloud autorizado por privacidad y costo; modelos locales promovidos solo tras evals.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Herramienta de observabilidad a evaluar primero: Phoenix o Braintrust.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Policy exacta de dirty working tree: bloquear tareas altas o permitir fingerprint + aprobación.</w:t>
      </w:r>
    </w:p>
    <w:p>
      <w:pPr>
        <w:pStyle w:val="Heading2"/>
        <w:keepNext/>
        <w:keepLines/>
      </w:pPr>
      <w:r>
        <w:t>11.3 Definition of Ready del programa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5E45"/>
                <w:sz w:val="21"/>
              </w:rPr>
              <w:t>Se puede comenzar cuando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20"/>
              </w:rPr>
              <w:t>(1) las rutas reales fueron descubiertas; (2) doctrine/excludes están aprobados; (3) existe un baseline Git identificable; (4) FF-AI-001 tiene owner y golden queries; (5) Qdrant y los modelos se tratan como dependencias verificables, no como supuestos.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Anexo A. Perfiles de contexto</w:t>
      </w:r>
    </w:p>
    <w:p>
      <w:pPr>
        <w:pStyle w:val="Heading2"/>
        <w:keepNext/>
        <w:keepLines/>
      </w:pPr>
      <w:r>
        <w:t>A.1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include: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backend/app/**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backend/tests/**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backend/alembic/** (si existe)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backend/pyproject.toml|requirements*.txt|pytest.ini (si existen)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docs/{architecture,domain,current-state,quality-and-validation}.md (secciones)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exclude: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backend/.venv_backend/**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frontend/**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docs/archive/**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.env*|secrets|generated|cache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A.2 Frontend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include: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frontend/src/**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frontend/tests/** (si existe)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frontend/package.json + lockfile + tsconfig/vite config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docs canónicos relevantes (secciones)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exclude: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frontend/node_modules/**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frontend/dist/**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backend/** excepto contrato OpenAPI/DTO seleccionado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 xml:space="preserve">  - docs/archive/**|.env*|generated|cache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A.3 Mixed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seed: API route/schema/error/event named in TASK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expand backend: router -&gt; schema -&gt; service -&gt; CRUD/model -&gt; targeted tests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expand frontend: api client -&gt; type -&gt; store/hook -&gt; component -&gt; targeted tests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include doctrine: exact architecture/domain/API sections only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stop when acceptance evidence is covered; never concatenate both full trees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Anexo B. Contratos de eventos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keepLines/>
              <w:spacing w:before="40" w:after="4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event_id: uuid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event_type: TaskReady | ScopeResolved | ...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task_id: FF-...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baseline_revision: sha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working_tree_fingerprint: sha256|null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actor: human|planner|explorer|coderA|coderB|reviewer|validator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provider: local|openai|xai|copilot|null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model: exact-runtime-id|null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reasoning_level: low|medium|high|xhigh|null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input_artifacts: [{path, hash}]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output_artifacts: [{path, hash}]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reason_code: enum</w:t>
            </w:r>
            <w:r>
              <w:br/>
            </w:r>
            <w:r>
              <w:rPr>
                <w:rFonts w:ascii="Consolas" w:hAnsi="Consolas"/>
                <w:color w:val="111827"/>
                <w:sz w:val="16"/>
              </w:rPr>
              <w:t>timestamp: RFC3339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Anexo C. Checklist del reviewer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Baseline y scope coinciden con TASK y Context Package.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El diff solo toca paths autorizados o documenta una excepción aprobada.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El código respeta Router → Service → CRUD → Model y schemas de frontera.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No hay evidencia tomada solo de índice/RESULT; se abrió la fuente real.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Tests cubren el comportamiento modificado, no solo import/smoke.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Estados PASS/FAIL/NOT_RUN/UNAVAILABLE/N/A tienen comando/evidencia.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No se introducen secretos, deps innecesarias, migraciones destructivas ni refactors laterales.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Los errores y contratos API son coherentes entre backend/frontend cuando el scope es mixed.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El impacto documental se clasifica: none, canonical update, ADR o follow-up.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El veredicto incluye findings accionables por severidad y next_state válido.</w:t>
      </w:r>
    </w:p>
    <w:p>
      <w:pPr>
        <w:pStyle w:val="Heading1"/>
        <w:keepNext/>
        <w:keepLines/>
        <w:pageBreakBefore/>
      </w:pPr>
      <w:r>
        <w:t>Fuentes</w:t>
      </w:r>
    </w:p>
    <w:p>
      <w:pPr>
        <w:keepLines w:val="0"/>
        <w:widowControl/>
        <w:spacing w:before="0" w:after="120" w:line="264" w:lineRule="auto"/>
      </w:pPr>
      <w:r>
        <w:rPr>
          <w:rFonts w:ascii="Calibri" w:hAnsi="Calibri"/>
          <w:color w:val="111827"/>
        </w:rPr>
        <w:t>Fuentes externas primarias consultadas el 15 de agosto de 2026. Los nombres comerciales y catálogos de modelos deben verificarse en runtime antes de cada actualización de la matriz.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[S1] </w:t>
      </w:r>
      <w:hyperlink r:id="rId11">
        <w:r>
          <w:rPr>
            <w:rFonts w:ascii="Calibri" w:hAnsi="Calibri"/>
            <w:color w:val="2E74B5"/>
            <w:u w:val="single"/>
          </w:rPr>
          <w:t>OpenAI · Models</w:t>
        </w:r>
      </w:hyperlink>
      <w:r>
        <w:rPr>
          <w:rFonts w:ascii="Calibri" w:hAnsi="Calibri"/>
          <w:color w:val="5F6B7A"/>
          <w:sz w:val="16"/>
        </w:rPr>
        <w:t xml:space="preserve"> · https://developers.openai.com/api/docs/models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[S2] </w:t>
      </w:r>
      <w:hyperlink r:id="rId12">
        <w:r>
          <w:rPr>
            <w:rFonts w:ascii="Calibri" w:hAnsi="Calibri"/>
            <w:color w:val="2E74B5"/>
            <w:u w:val="single"/>
          </w:rPr>
          <w:t>OpenAI Codex · Subagents</w:t>
        </w:r>
      </w:hyperlink>
      <w:r>
        <w:rPr>
          <w:rFonts w:ascii="Calibri" w:hAnsi="Calibri"/>
          <w:color w:val="5F6B7A"/>
          <w:sz w:val="16"/>
        </w:rPr>
        <w:t xml:space="preserve"> · https://learn.chatgpt.com/docs/agent-configuration/subagents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[S3] </w:t>
      </w:r>
      <w:hyperlink r:id="rId13">
        <w:r>
          <w:rPr>
            <w:rFonts w:ascii="Calibri" w:hAnsi="Calibri"/>
            <w:color w:val="2E74B5"/>
            <w:u w:val="single"/>
          </w:rPr>
          <w:t>OpenAI Codex · Hooks</w:t>
        </w:r>
      </w:hyperlink>
      <w:r>
        <w:rPr>
          <w:rFonts w:ascii="Calibri" w:hAnsi="Calibri"/>
          <w:color w:val="5F6B7A"/>
          <w:sz w:val="16"/>
        </w:rPr>
        <w:t xml:space="preserve"> · https://learn.chatgpt.com/docs/hooks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[S4] </w:t>
      </w:r>
      <w:hyperlink r:id="rId14">
        <w:r>
          <w:rPr>
            <w:rFonts w:ascii="Calibri" w:hAnsi="Calibri"/>
            <w:color w:val="2E74B5"/>
            <w:u w:val="single"/>
          </w:rPr>
          <w:t>OpenAI Codex · Non-interactive mode</w:t>
        </w:r>
      </w:hyperlink>
      <w:r>
        <w:rPr>
          <w:rFonts w:ascii="Calibri" w:hAnsi="Calibri"/>
          <w:color w:val="5F6B7A"/>
          <w:sz w:val="16"/>
        </w:rPr>
        <w:t xml:space="preserve"> · https://learn.chatgpt.com/docs/non-interactive-mode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[S5] </w:t>
      </w:r>
      <w:hyperlink r:id="rId15">
        <w:r>
          <w:rPr>
            <w:rFonts w:ascii="Calibri" w:hAnsi="Calibri"/>
            <w:color w:val="2E74B5"/>
            <w:u w:val="single"/>
          </w:rPr>
          <w:t>OpenAI Codex · MCP</w:t>
        </w:r>
      </w:hyperlink>
      <w:r>
        <w:rPr>
          <w:rFonts w:ascii="Calibri" w:hAnsi="Calibri"/>
          <w:color w:val="5F6B7A"/>
          <w:sz w:val="16"/>
        </w:rPr>
        <w:t xml:space="preserve"> · https://learn.chatgpt.com/docs/extend/mcp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[S6] </w:t>
      </w:r>
      <w:hyperlink r:id="rId16">
        <w:r>
          <w:rPr>
            <w:rFonts w:ascii="Calibri" w:hAnsi="Calibri"/>
            <w:color w:val="2E74B5"/>
            <w:u w:val="single"/>
          </w:rPr>
          <w:t>Qwen · Qwen2.5-Coder-7B-Instruct</w:t>
        </w:r>
      </w:hyperlink>
      <w:r>
        <w:rPr>
          <w:rFonts w:ascii="Calibri" w:hAnsi="Calibri"/>
          <w:color w:val="5F6B7A"/>
          <w:sz w:val="16"/>
        </w:rPr>
        <w:t xml:space="preserve"> · https://huggingface.co/Qwen/Qwen2.5-Coder-7B-Instruct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[S7] </w:t>
      </w:r>
      <w:hyperlink r:id="rId17">
        <w:r>
          <w:rPr>
            <w:rFonts w:ascii="Calibri" w:hAnsi="Calibri"/>
            <w:color w:val="2E74B5"/>
            <w:u w:val="single"/>
          </w:rPr>
          <w:t>Qwen · Qwen2.5-Coder-3B-Instruct</w:t>
        </w:r>
      </w:hyperlink>
      <w:r>
        <w:rPr>
          <w:rFonts w:ascii="Calibri" w:hAnsi="Calibri"/>
          <w:color w:val="5F6B7A"/>
          <w:sz w:val="16"/>
        </w:rPr>
        <w:t xml:space="preserve"> · https://huggingface.co/Qwen/Qwen2.5-Coder-3B-Instruct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[S8] </w:t>
      </w:r>
      <w:hyperlink r:id="rId18">
        <w:r>
          <w:rPr>
            <w:rFonts w:ascii="Calibri" w:hAnsi="Calibri"/>
            <w:color w:val="2E74B5"/>
            <w:u w:val="single"/>
          </w:rPr>
          <w:t>DeepSeek · DeepSeek-R1</w:t>
        </w:r>
      </w:hyperlink>
      <w:r>
        <w:rPr>
          <w:rFonts w:ascii="Calibri" w:hAnsi="Calibri"/>
          <w:color w:val="5F6B7A"/>
          <w:sz w:val="16"/>
        </w:rPr>
        <w:t xml:space="preserve"> · https://github.com/deepseek-ai/DeepSeek-R1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[S9] </w:t>
      </w:r>
      <w:hyperlink r:id="rId19">
        <w:r>
          <w:rPr>
            <w:rFonts w:ascii="Calibri" w:hAnsi="Calibri"/>
            <w:color w:val="2E74B5"/>
            <w:u w:val="single"/>
          </w:rPr>
          <w:t>LlamaIndex · Workflows</w:t>
        </w:r>
      </w:hyperlink>
      <w:r>
        <w:rPr>
          <w:rFonts w:ascii="Calibri" w:hAnsi="Calibri"/>
          <w:color w:val="5F6B7A"/>
          <w:sz w:val="16"/>
        </w:rPr>
        <w:t xml:space="preserve"> · https://developers.llamaindex.ai/python/llamaagents/workflows/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[S10] </w:t>
      </w:r>
      <w:hyperlink r:id="rId20">
        <w:r>
          <w:rPr>
            <w:rFonts w:ascii="Calibri" w:hAnsi="Calibri"/>
            <w:color w:val="2E74B5"/>
            <w:u w:val="single"/>
          </w:rPr>
          <w:t>LlamaIndex · Ingestion Pipeline</w:t>
        </w:r>
      </w:hyperlink>
      <w:r>
        <w:rPr>
          <w:rFonts w:ascii="Calibri" w:hAnsi="Calibri"/>
          <w:color w:val="5F6B7A"/>
          <w:sz w:val="16"/>
        </w:rPr>
        <w:t xml:space="preserve"> · https://developers.llamaindex.ai/python/framework/module_guides/loading/ingestion_pipeline/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[S11] </w:t>
      </w:r>
      <w:hyperlink r:id="rId21">
        <w:r>
          <w:rPr>
            <w:rFonts w:ascii="Calibri" w:hAnsi="Calibri"/>
            <w:color w:val="2E74B5"/>
            <w:u w:val="single"/>
          </w:rPr>
          <w:t>LlamaIndex · Qdrant Vector Store</w:t>
        </w:r>
      </w:hyperlink>
      <w:r>
        <w:rPr>
          <w:rFonts w:ascii="Calibri" w:hAnsi="Calibri"/>
          <w:color w:val="5F6B7A"/>
          <w:sz w:val="16"/>
        </w:rPr>
        <w:t xml:space="preserve"> · https://developers.llamaindex.ai/python/framework/integrations/vector_stores/qdrantindexdemo/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[S12] </w:t>
      </w:r>
      <w:hyperlink r:id="rId22">
        <w:r>
          <w:rPr>
            <w:rFonts w:ascii="Calibri" w:hAnsi="Calibri"/>
            <w:color w:val="2E74B5"/>
            <w:u w:val="single"/>
          </w:rPr>
          <w:t>Qdrant · Payload</w:t>
        </w:r>
      </w:hyperlink>
      <w:r>
        <w:rPr>
          <w:rFonts w:ascii="Calibri" w:hAnsi="Calibri"/>
          <w:color w:val="5F6B7A"/>
          <w:sz w:val="16"/>
        </w:rPr>
        <w:t xml:space="preserve"> · https://qdrant.tech/documentation/concepts/payload/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[S13] </w:t>
      </w:r>
      <w:hyperlink r:id="rId23">
        <w:r>
          <w:rPr>
            <w:rFonts w:ascii="Calibri" w:hAnsi="Calibri"/>
            <w:color w:val="2E74B5"/>
            <w:u w:val="single"/>
          </w:rPr>
          <w:t>Qdrant · Filtering</w:t>
        </w:r>
      </w:hyperlink>
      <w:r>
        <w:rPr>
          <w:rFonts w:ascii="Calibri" w:hAnsi="Calibri"/>
          <w:color w:val="5F6B7A"/>
          <w:sz w:val="16"/>
        </w:rPr>
        <w:t xml:space="preserve"> · https://qdrant.tech/documentation/search/filtering/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[S14] </w:t>
      </w:r>
      <w:hyperlink r:id="rId24">
        <w:r>
          <w:rPr>
            <w:rFonts w:ascii="Calibri" w:hAnsi="Calibri"/>
            <w:color w:val="2E74B5"/>
            <w:u w:val="single"/>
          </w:rPr>
          <w:t>Qdrant · Hybrid Queries</w:t>
        </w:r>
      </w:hyperlink>
      <w:r>
        <w:rPr>
          <w:rFonts w:ascii="Calibri" w:hAnsi="Calibri"/>
          <w:color w:val="5F6B7A"/>
          <w:sz w:val="16"/>
        </w:rPr>
        <w:t xml:space="preserve"> · https://qdrant.tech/documentation/search/hybrid-queries/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[S15] </w:t>
      </w:r>
      <w:hyperlink r:id="rId25">
        <w:r>
          <w:rPr>
            <w:rFonts w:ascii="Calibri" w:hAnsi="Calibri"/>
            <w:color w:val="2E74B5"/>
            <w:u w:val="single"/>
          </w:rPr>
          <w:t>Qdrant · Collections and Aliases</w:t>
        </w:r>
      </w:hyperlink>
      <w:r>
        <w:rPr>
          <w:rFonts w:ascii="Calibri" w:hAnsi="Calibri"/>
          <w:color w:val="5F6B7A"/>
          <w:sz w:val="16"/>
        </w:rPr>
        <w:t xml:space="preserve"> · https://qdrant.tech/documentation/manage-data/collections/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[S16] </w:t>
      </w:r>
      <w:hyperlink r:id="rId26">
        <w:r>
          <w:rPr>
            <w:rFonts w:ascii="Calibri" w:hAnsi="Calibri"/>
            <w:color w:val="2E74B5"/>
            <w:u w:val="single"/>
          </w:rPr>
          <w:t>Aider · Repository Map</w:t>
        </w:r>
      </w:hyperlink>
      <w:r>
        <w:rPr>
          <w:rFonts w:ascii="Calibri" w:hAnsi="Calibri"/>
          <w:color w:val="5F6B7A"/>
          <w:sz w:val="16"/>
        </w:rPr>
        <w:t xml:space="preserve"> · https://aider.chat/docs/repomap.html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[S17] </w:t>
      </w:r>
      <w:hyperlink r:id="rId27">
        <w:r>
          <w:rPr>
            <w:rFonts w:ascii="Calibri" w:hAnsi="Calibri"/>
            <w:color w:val="2E74B5"/>
            <w:u w:val="single"/>
          </w:rPr>
          <w:t>Repomix · Output</w:t>
        </w:r>
      </w:hyperlink>
      <w:r>
        <w:rPr>
          <w:rFonts w:ascii="Calibri" w:hAnsi="Calibri"/>
          <w:color w:val="5F6B7A"/>
          <w:sz w:val="16"/>
        </w:rPr>
        <w:t xml:space="preserve"> · https://repomix.com/guide/output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[S18] </w:t>
      </w:r>
      <w:hyperlink r:id="rId28">
        <w:r>
          <w:rPr>
            <w:rFonts w:ascii="Calibri" w:hAnsi="Calibri"/>
            <w:color w:val="2E74B5"/>
            <w:u w:val="single"/>
          </w:rPr>
          <w:t>Repomix · Configuration</w:t>
        </w:r>
      </w:hyperlink>
      <w:r>
        <w:rPr>
          <w:rFonts w:ascii="Calibri" w:hAnsi="Calibri"/>
          <w:color w:val="5F6B7A"/>
          <w:sz w:val="16"/>
        </w:rPr>
        <w:t xml:space="preserve"> · https://repomix.com/guide/configuration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[S19] </w:t>
      </w:r>
      <w:hyperlink r:id="rId29">
        <w:r>
          <w:rPr>
            <w:rFonts w:ascii="Calibri" w:hAnsi="Calibri"/>
            <w:color w:val="2E74B5"/>
            <w:u w:val="single"/>
          </w:rPr>
          <w:t>Repomix · Using as a Library</w:t>
        </w:r>
      </w:hyperlink>
      <w:r>
        <w:rPr>
          <w:rFonts w:ascii="Calibri" w:hAnsi="Calibri"/>
          <w:color w:val="5F6B7A"/>
          <w:sz w:val="16"/>
        </w:rPr>
        <w:t xml:space="preserve"> · https://repomix.com/guide/development/using-repomix-as-a-library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[S20] </w:t>
      </w:r>
      <w:hyperlink r:id="rId30">
        <w:r>
          <w:rPr>
            <w:rFonts w:ascii="Calibri" w:hAnsi="Calibri"/>
            <w:color w:val="2E74B5"/>
            <w:u w:val="single"/>
          </w:rPr>
          <w:t>Google · EmbeddingGemma</w:t>
        </w:r>
      </w:hyperlink>
      <w:r>
        <w:rPr>
          <w:rFonts w:ascii="Calibri" w:hAnsi="Calibri"/>
          <w:color w:val="5F6B7A"/>
          <w:sz w:val="16"/>
        </w:rPr>
        <w:t xml:space="preserve"> · https://ai.google.dev/gemma/docs/embeddinggemma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[S21] </w:t>
      </w:r>
      <w:hyperlink r:id="rId31">
        <w:r>
          <w:rPr>
            <w:rFonts w:ascii="Calibri" w:hAnsi="Calibri"/>
            <w:color w:val="2E74B5"/>
            <w:u w:val="single"/>
          </w:rPr>
          <w:t>GitHub Copilot · Supported AI Models</w:t>
        </w:r>
      </w:hyperlink>
      <w:r>
        <w:rPr>
          <w:rFonts w:ascii="Calibri" w:hAnsi="Calibri"/>
          <w:color w:val="5F6B7A"/>
          <w:sz w:val="16"/>
        </w:rPr>
        <w:t xml:space="preserve"> · https://docs.github.com/en/copilot/reference/ai-models/supported-models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[S22] </w:t>
      </w:r>
      <w:hyperlink r:id="rId32">
        <w:r>
          <w:rPr>
            <w:rFonts w:ascii="Calibri" w:hAnsi="Calibri"/>
            <w:color w:val="2E74B5"/>
            <w:u w:val="single"/>
          </w:rPr>
          <w:t>Promptfoo · Evaluate RAG</w:t>
        </w:r>
      </w:hyperlink>
      <w:r>
        <w:rPr>
          <w:rFonts w:ascii="Calibri" w:hAnsi="Calibri"/>
          <w:color w:val="5F6B7A"/>
          <w:sz w:val="16"/>
        </w:rPr>
        <w:t xml:space="preserve"> · https://www.promptfoo.dev/docs/guides/evaluate-rag/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[S23] </w:t>
      </w:r>
      <w:hyperlink r:id="rId33">
        <w:r>
          <w:rPr>
            <w:rFonts w:ascii="Calibri" w:hAnsi="Calibri"/>
            <w:color w:val="2E74B5"/>
            <w:u w:val="single"/>
          </w:rPr>
          <w:t>Promptfoo · Red-team Coding Agents</w:t>
        </w:r>
      </w:hyperlink>
      <w:r>
        <w:rPr>
          <w:rFonts w:ascii="Calibri" w:hAnsi="Calibri"/>
          <w:color w:val="5F6B7A"/>
          <w:sz w:val="16"/>
        </w:rPr>
        <w:t xml:space="preserve"> · https://www.promptfoo.dev/docs/red-team/coding-agents/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[S24] </w:t>
      </w:r>
      <w:hyperlink r:id="rId34">
        <w:r>
          <w:rPr>
            <w:rFonts w:ascii="Calibri" w:hAnsi="Calibri"/>
            <w:color w:val="2E74B5"/>
            <w:u w:val="single"/>
          </w:rPr>
          <w:t>Promptfoo · MCP</w:t>
        </w:r>
      </w:hyperlink>
      <w:r>
        <w:rPr>
          <w:rFonts w:ascii="Calibri" w:hAnsi="Calibri"/>
          <w:color w:val="5F6B7A"/>
          <w:sz w:val="16"/>
        </w:rPr>
        <w:t xml:space="preserve"> · https://www.promptfoo.dev/docs/providers/mcp/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[S25] </w:t>
      </w:r>
      <w:hyperlink r:id="rId35">
        <w:r>
          <w:rPr>
            <w:rFonts w:ascii="Calibri" w:hAnsi="Calibri"/>
            <w:color w:val="2E74B5"/>
            <w:u w:val="single"/>
          </w:rPr>
          <w:t>Model Context Protocol · Transports</w:t>
        </w:r>
      </w:hyperlink>
      <w:r>
        <w:rPr>
          <w:rFonts w:ascii="Calibri" w:hAnsi="Calibri"/>
          <w:color w:val="5F6B7A"/>
          <w:sz w:val="16"/>
        </w:rPr>
        <w:t xml:space="preserve"> · https://modelcontextprotocol.io/specification/2025-06-18/basic/transports</w:t>
      </w:r>
    </w:p>
    <w:p>
      <w:pPr>
        <w:spacing w:after="80" w:line="240" w:lineRule="auto"/>
      </w:pPr>
      <w:r>
        <w:rPr>
          <w:rFonts w:ascii="Calibri" w:hAnsi="Calibri"/>
          <w:b/>
          <w:color w:val="0B2545"/>
          <w:sz w:val="18"/>
        </w:rPr>
        <w:t xml:space="preserve">[S26] </w:t>
      </w:r>
      <w:hyperlink r:id="rId36">
        <w:r>
          <w:rPr>
            <w:rFonts w:ascii="Calibri" w:hAnsi="Calibri"/>
            <w:color w:val="2E74B5"/>
            <w:u w:val="single"/>
          </w:rPr>
          <w:t>FastContext paper page (withdrawal noted)</w:t>
        </w:r>
      </w:hyperlink>
      <w:r>
        <w:rPr>
          <w:rFonts w:ascii="Calibri" w:hAnsi="Calibri"/>
          <w:color w:val="5F6B7A"/>
          <w:sz w:val="16"/>
        </w:rPr>
        <w:t xml:space="preserve"> · https://arxiv.org/abs/2606.14066</w:t>
      </w:r>
    </w:p>
    <w:p>
      <w:pPr>
        <w:pStyle w:val="Heading2"/>
        <w:keepNext/>
        <w:keepLines/>
      </w:pPr>
      <w:r>
        <w:t>Fuentes internas consolidadas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fitflow_docs_v3_full.zip: AGENTS.md, SOURCE_OF_TRUTH.md, development-pipelines.md, context-strategy.md, indexer-pipeline.md, templates TASK/RESULT y políticas de exclusión.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architecture.md actual: doctrina normativa, capas backend y transición a monolito modular.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architecture-explained.md actual: explicación para desarrolladores, no normativa y excluida del contexto automático.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Planificacion inicial con ia.docx: propuesta inicial de Planner/Explorer/Worker/Reviewer y LlamaIndex Workflows.</w:t>
      </w:r>
    </w:p>
    <w:p>
      <w:pPr>
        <w:widowControl/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111827"/>
        </w:rPr>
        <w:t>Contexto previo recuperable del proyecto FitFlow: Qdrant, EmbeddingGemma, env_tools, modelos locales y checkpoints del MVP.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5E45"/>
                <w:sz w:val="21"/>
              </w:rPr>
              <w:t>Cierre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20"/>
              </w:rPr>
              <w:t>El criterio de madurez no es cuántos agentes participan. Es si una task puede demostrar qué revisión leyó, por qué seleccionó esa evidencia, qué cambió, qué validó, quién revisó y por qué el resultado puede promoverse sin confundir contexto derivado con verdad.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B7A"/>
        <w:sz w:val="18"/>
      </w:rPr>
      <w:t xml:space="preserve">Página </w:t>
    </w:r>
    <w:r>
      <w:rPr>
        <w:rFonts w:ascii="Calibri" w:hAnsi="Calibri"/>
        <w:color w:val="5F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/>
        <w:b/>
        <w:color w:val="5F6B7A"/>
        <w:sz w:val="17"/>
      </w:rPr>
      <w:t>FITFLOW | DESARROLLO ASISTIDO POR IA</w:t>
      <w:tab/>
    </w:r>
    <w:r>
      <w:rPr>
        <w:rFonts w:ascii="Calibri" w:hAnsi="Calibri"/>
        <w:color w:val="5F6B7A"/>
        <w:sz w:val="17"/>
      </w:rPr>
      <w:t>Arquitectura operativa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7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api/docs/models" TargetMode="External"/><Relationship Id="rId12" Type="http://schemas.openxmlformats.org/officeDocument/2006/relationships/hyperlink" Target="https://learn.chatgpt.com/docs/agent-configuration/subagents" TargetMode="External"/><Relationship Id="rId13" Type="http://schemas.openxmlformats.org/officeDocument/2006/relationships/hyperlink" Target="https://learn.chatgpt.com/docs/hooks" TargetMode="External"/><Relationship Id="rId14" Type="http://schemas.openxmlformats.org/officeDocument/2006/relationships/hyperlink" Target="https://learn.chatgpt.com/docs/non-interactive-mode" TargetMode="External"/><Relationship Id="rId15" Type="http://schemas.openxmlformats.org/officeDocument/2006/relationships/hyperlink" Target="https://learn.chatgpt.com/docs/extend/mcp" TargetMode="External"/><Relationship Id="rId16" Type="http://schemas.openxmlformats.org/officeDocument/2006/relationships/hyperlink" Target="https://huggingface.co/Qwen/Qwen2.5-Coder-7B-Instruct" TargetMode="External"/><Relationship Id="rId17" Type="http://schemas.openxmlformats.org/officeDocument/2006/relationships/hyperlink" Target="https://huggingface.co/Qwen/Qwen2.5-Coder-3B-Instruct" TargetMode="External"/><Relationship Id="rId18" Type="http://schemas.openxmlformats.org/officeDocument/2006/relationships/hyperlink" Target="https://github.com/deepseek-ai/DeepSeek-R1" TargetMode="External"/><Relationship Id="rId19" Type="http://schemas.openxmlformats.org/officeDocument/2006/relationships/hyperlink" Target="https://developers.llamaindex.ai/python/llamaagents/workflows/" TargetMode="External"/><Relationship Id="rId20" Type="http://schemas.openxmlformats.org/officeDocument/2006/relationships/hyperlink" Target="https://developers.llamaindex.ai/python/framework/module_guides/loading/ingestion_pipeline/" TargetMode="External"/><Relationship Id="rId21" Type="http://schemas.openxmlformats.org/officeDocument/2006/relationships/hyperlink" Target="https://developers.llamaindex.ai/python/framework/integrations/vector_stores/qdrantindexdemo/" TargetMode="External"/><Relationship Id="rId22" Type="http://schemas.openxmlformats.org/officeDocument/2006/relationships/hyperlink" Target="https://qdrant.tech/documentation/concepts/payload/" TargetMode="External"/><Relationship Id="rId23" Type="http://schemas.openxmlformats.org/officeDocument/2006/relationships/hyperlink" Target="https://qdrant.tech/documentation/search/filtering/" TargetMode="External"/><Relationship Id="rId24" Type="http://schemas.openxmlformats.org/officeDocument/2006/relationships/hyperlink" Target="https://qdrant.tech/documentation/search/hybrid-queries/" TargetMode="External"/><Relationship Id="rId25" Type="http://schemas.openxmlformats.org/officeDocument/2006/relationships/hyperlink" Target="https://qdrant.tech/documentation/manage-data/collections/" TargetMode="External"/><Relationship Id="rId26" Type="http://schemas.openxmlformats.org/officeDocument/2006/relationships/hyperlink" Target="https://aider.chat/docs/repomap.html" TargetMode="External"/><Relationship Id="rId27" Type="http://schemas.openxmlformats.org/officeDocument/2006/relationships/hyperlink" Target="https://repomix.com/guide/output" TargetMode="External"/><Relationship Id="rId28" Type="http://schemas.openxmlformats.org/officeDocument/2006/relationships/hyperlink" Target="https://repomix.com/guide/configuration" TargetMode="External"/><Relationship Id="rId29" Type="http://schemas.openxmlformats.org/officeDocument/2006/relationships/hyperlink" Target="https://repomix.com/guide/development/using-repomix-as-a-library" TargetMode="External"/><Relationship Id="rId30" Type="http://schemas.openxmlformats.org/officeDocument/2006/relationships/hyperlink" Target="https://ai.google.dev/gemma/docs/embeddinggemma" TargetMode="External"/><Relationship Id="rId31" Type="http://schemas.openxmlformats.org/officeDocument/2006/relationships/hyperlink" Target="https://docs.github.com/en/copilot/reference/ai-models/supported-models" TargetMode="External"/><Relationship Id="rId32" Type="http://schemas.openxmlformats.org/officeDocument/2006/relationships/hyperlink" Target="https://www.promptfoo.dev/docs/guides/evaluate-rag/" TargetMode="External"/><Relationship Id="rId33" Type="http://schemas.openxmlformats.org/officeDocument/2006/relationships/hyperlink" Target="https://www.promptfoo.dev/docs/red-team/coding-agents/" TargetMode="External"/><Relationship Id="rId34" Type="http://schemas.openxmlformats.org/officeDocument/2006/relationships/hyperlink" Target="https://www.promptfoo.dev/docs/providers/mcp/" TargetMode="External"/><Relationship Id="rId35" Type="http://schemas.openxmlformats.org/officeDocument/2006/relationships/hyperlink" Target="https://modelcontextprotocol.io/specification/2025-06-18/basic/transports" TargetMode="External"/><Relationship Id="rId36" Type="http://schemas.openxmlformats.org/officeDocument/2006/relationships/hyperlink" Target="https://arxiv.org/abs/2606.140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desarrollo asistido por IA para FitFlow</dc:title>
  <dc:subject>Arquitectura operativa, contexto, agentes y plan LlamaIndex</dc:subject>
  <dc:creator>OpenAI Codex</dc:creator>
  <cp:keywords>FitFlow, IA, LlamaIndex, Qdrant, Repomix, RepoMap, MCP, Promptfoo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