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45A73"/>
          <w:sz w:val="36"/>
        </w:rPr>
        <w:t>FITFLOW</w:t>
      </w:r>
    </w:p>
    <w:p>
      <w:pPr>
        <w:pStyle w:val="Title"/>
        <w:jc w:val="center"/>
      </w:pPr>
      <w:r>
        <w:t>ROADMAP</w:t>
        <w:br/>
        <w:t>Arquitectura + Validacion con IA</w:t>
      </w:r>
    </w:p>
    <w:p>
      <w:pPr>
        <w:jc w:val="center"/>
      </w:pPr>
      <w:r>
        <w:rPr>
          <w:i/>
          <w:color w:val="505A64"/>
          <w:sz w:val="24"/>
        </w:rPr>
        <w:t>Fuente de verdad en capas · MVP first · Dos pipelines de desarrollo asistido</w:t>
      </w:r>
    </w:p>
    <w:p>
      <w:pPr>
        <w:jc w:val="center"/>
      </w:pPr>
      <w:r>
        <w:br/>
        <w:t>Version 2.0</w:t>
        <w:br/>
        <w:t>12 de agosto de 2026</w:t>
        <w:br/>
        <w:t>Estado: Activo / reemplaza la version 1.0</w:t>
      </w:r>
    </w:p>
    <w:p>
      <w:pPr>
        <w:spacing w:before="960"/>
        <w:jc w:val="center"/>
      </w:pPr>
      <w:r>
        <w:rPr>
          <w:i/>
          <w:color w:val="646464"/>
          <w:sz w:val="18"/>
        </w:rPr>
        <w:t>Nota de autoridad: los Markdown activos de docs/ son la fuente documental canonica. Este DOCX es una fotografia formal para lectura humana.</w:t>
      </w:r>
    </w:p>
    <w:p>
      <w:r>
        <w:br w:type="page"/>
      </w:r>
    </w:p>
    <w:p>
      <w:pPr>
        <w:pStyle w:val="Heading1"/>
      </w:pPr>
      <w:r>
        <w:t>1. Nuevo paradigma de trabajo</w:t>
      </w:r>
    </w:p>
    <w:p>
      <w:r>
        <w:t>FitFlow mantiene el objetivo de entregar un MVP operativo, pero separa explicitamente tres preocupaciones que antes estaban mezcladas: el producto, la documentacion canonica y el tooling de IA.</w:t>
      </w:r>
    </w:p>
    <w:p>
      <w:pPr>
        <w:pStyle w:val="ListBullet"/>
      </w:pPr>
      <w:r>
        <w:t>Producto: cerrar Sprint 6.8, estabilizar el dominio y avanzar al MVP sin otra refactorizacion indefinida.</w:t>
      </w:r>
    </w:p>
    <w:p>
      <w:pPr>
        <w:pStyle w:val="ListBullet"/>
      </w:pPr>
      <w:r>
        <w:t>Documentacion: mantener una fuente de verdad corta, versionable y legible por humanos/agentes.</w:t>
      </w:r>
    </w:p>
    <w:p>
      <w:pPr>
        <w:pStyle w:val="ListBullet"/>
      </w:pPr>
      <w:r>
        <w:t>Tooling IA: usar un pipeline potente con indice reutilizable y una rama local AiderDesk independiente en evolucion.</w:t>
      </w:r>
    </w:p>
    <w:p>
      <w:pPr>
        <w:spacing w:before="80" w:after="160"/>
        <w:ind w:left="360" w:right="216"/>
        <w:shd w:fill="F3F5F7"/>
      </w:pPr>
      <w:r>
        <w:rPr>
          <w:rFonts w:ascii="Consolas" w:hAnsi="Consolas"/>
          <w:sz w:val="18"/>
        </w:rPr>
        <w:t>PRODUCT TRACK              ENGINEERING TOOLING</w:t>
      </w:r>
      <w:r>
        <w:br/>
      </w:r>
      <w:r>
        <w:rPr>
          <w:rFonts w:ascii="Consolas" w:hAnsi="Consolas"/>
          <w:sz w:val="18"/>
        </w:rPr>
        <w:t>Sprint 6.8 -&gt; MVP           Docs/AGENTS</w:t>
      </w:r>
      <w:r>
        <w:br/>
      </w:r>
      <w:r>
        <w:rPr>
          <w:rFonts w:ascii="Consolas" w:hAnsi="Consolas"/>
          <w:sz w:val="18"/>
        </w:rPr>
        <w:t xml:space="preserve">      |                      -&gt; Project Index</w:t>
      </w:r>
      <w:r>
        <w:br/>
      </w:r>
      <w:r>
        <w:rPr>
          <w:rFonts w:ascii="Consolas" w:hAnsi="Consolas"/>
          <w:sz w:val="18"/>
        </w:rPr>
        <w:t xml:space="preserve">      v                      -&gt; Codex tools/context</w:t>
      </w:r>
      <w:r>
        <w:br/>
      </w:r>
      <w:r>
        <w:rPr>
          <w:rFonts w:ascii="Consolas" w:hAnsi="Consolas"/>
          <w:sz w:val="18"/>
        </w:rPr>
        <w:t>Testing -&gt; Staging           -&gt; AiderDesk Explorer/Worker/Reviewer</w:t>
      </w:r>
    </w:p>
    <w:p>
      <w:pPr>
        <w:pStyle w:val="Heading1"/>
      </w:pPr>
      <w:r>
        <w:t>2. Fuente de verdad en capas</w:t>
      </w:r>
    </w:p>
    <w:p>
      <w:r>
        <w:t>La version anterior ya establecia que codigo/modelos y tests tenian mayor autoridad que indices derivados. La version 2.0 formaliza esa idea y separa implementacion, intencion y contexto derivado.</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245A73"/>
          </w:tcPr>
          <w:p>
            <w:r>
              <w:rPr>
                <w:color w:val="FFFFFF"/>
              </w:rPr>
              <w:t>Capa</w:t>
            </w:r>
          </w:p>
        </w:tc>
        <w:tc>
          <w:tcPr>
            <w:tcW w:type="dxa" w:w="3293"/>
            <w:shd w:fill="245A73"/>
          </w:tcPr>
          <w:p>
            <w:r>
              <w:rPr>
                <w:color w:val="FFFFFF"/>
              </w:rPr>
              <w:t>Autoridad</w:t>
            </w:r>
          </w:p>
        </w:tc>
        <w:tc>
          <w:tcPr>
            <w:tcW w:type="dxa" w:w="3293"/>
            <w:shd w:fill="245A73"/>
          </w:tcPr>
          <w:p>
            <w:r>
              <w:rPr>
                <w:color w:val="FFFFFF"/>
              </w:rPr>
              <w:t>Uso</w:t>
            </w:r>
          </w:p>
        </w:tc>
      </w:tr>
      <w:tr>
        <w:tc>
          <w:tcPr>
            <w:tcW w:type="dxa" w:w="3293"/>
            <w:tcMar>
              <w:top w:w="90" w:type="dxa"/>
              <w:start w:w="100" w:type="dxa"/>
              <w:bottom w:w="90" w:type="dxa"/>
              <w:end w:w="100" w:type="dxa"/>
            </w:tcMar>
          </w:tcPr>
          <w:p>
            <w:r>
              <w:t>0 - Realidad ejecutable</w:t>
            </w:r>
          </w:p>
        </w:tc>
        <w:tc>
          <w:tcPr>
            <w:tcW w:type="dxa" w:w="3293"/>
            <w:tcMar>
              <w:top w:w="90" w:type="dxa"/>
              <w:start w:w="100" w:type="dxa"/>
              <w:bottom w:w="90" w:type="dxa"/>
              <w:end w:w="100" w:type="dxa"/>
            </w:tcMar>
          </w:tcPr>
          <w:p>
            <w:r>
              <w:t>Codigo, tests, configuracion, migraciones</w:t>
            </w:r>
          </w:p>
        </w:tc>
        <w:tc>
          <w:tcPr>
            <w:tcW w:type="dxa" w:w="3293"/>
            <w:tcMar>
              <w:top w:w="90" w:type="dxa"/>
              <w:start w:w="100" w:type="dxa"/>
              <w:bottom w:w="90" w:type="dxa"/>
              <w:end w:w="100" w:type="dxa"/>
            </w:tcMar>
          </w:tcPr>
          <w:p>
            <w:r>
              <w:t>Que existe y como se comporta hoy</w:t>
            </w:r>
          </w:p>
        </w:tc>
      </w:tr>
      <w:tr>
        <w:tc>
          <w:tcPr>
            <w:tcW w:type="dxa" w:w="3293"/>
            <w:tcMar>
              <w:top w:w="90" w:type="dxa"/>
              <w:start w:w="100" w:type="dxa"/>
              <w:bottom w:w="90" w:type="dxa"/>
              <w:end w:w="100" w:type="dxa"/>
            </w:tcMar>
          </w:tcPr>
          <w:p>
            <w:r>
              <w:t>1 - Docs canonicos</w:t>
            </w:r>
          </w:p>
        </w:tc>
        <w:tc>
          <w:tcPr>
            <w:tcW w:type="dxa" w:w="3293"/>
            <w:tcMar>
              <w:top w:w="90" w:type="dxa"/>
              <w:start w:w="100" w:type="dxa"/>
              <w:bottom w:w="90" w:type="dxa"/>
              <w:end w:w="100" w:type="dxa"/>
            </w:tcMar>
          </w:tcPr>
          <w:p>
            <w:r>
              <w:t>current-state, architecture, domain, ADR, roadmap</w:t>
            </w:r>
          </w:p>
        </w:tc>
        <w:tc>
          <w:tcPr>
            <w:tcW w:type="dxa" w:w="3293"/>
            <w:tcMar>
              <w:top w:w="90" w:type="dxa"/>
              <w:start w:w="100" w:type="dxa"/>
              <w:bottom w:w="90" w:type="dxa"/>
              <w:end w:w="100" w:type="dxa"/>
            </w:tcMar>
          </w:tcPr>
          <w:p>
            <w:r>
              <w:t>Que significa, que se acepta y hacia donde se va</w:t>
            </w:r>
          </w:p>
        </w:tc>
      </w:tr>
      <w:tr>
        <w:tc>
          <w:tcPr>
            <w:tcW w:type="dxa" w:w="3293"/>
            <w:tcMar>
              <w:top w:w="90" w:type="dxa"/>
              <w:start w:w="100" w:type="dxa"/>
              <w:bottom w:w="90" w:type="dxa"/>
              <w:end w:w="100" w:type="dxa"/>
            </w:tcMar>
          </w:tcPr>
          <w:p>
            <w:r>
              <w:t>2 - Contexto derivado</w:t>
            </w:r>
          </w:p>
        </w:tc>
        <w:tc>
          <w:tcPr>
            <w:tcW w:type="dxa" w:w="3293"/>
            <w:tcMar>
              <w:top w:w="90" w:type="dxa"/>
              <w:start w:w="100" w:type="dxa"/>
              <w:bottom w:w="90" w:type="dxa"/>
              <w:end w:w="100" w:type="dxa"/>
            </w:tcMar>
          </w:tcPr>
          <w:p>
            <w:r>
              <w:t>Project Index, embeddings, grafo, RepoMap, caches</w:t>
            </w:r>
          </w:p>
        </w:tc>
        <w:tc>
          <w:tcPr>
            <w:tcW w:type="dxa" w:w="3293"/>
            <w:tcMar>
              <w:top w:w="90" w:type="dxa"/>
              <w:start w:w="100" w:type="dxa"/>
              <w:bottom w:w="90" w:type="dxa"/>
              <w:end w:w="100" w:type="dxa"/>
            </w:tcMar>
          </w:tcPr>
          <w:p>
            <w:r>
              <w:t>Localizar y reducir contexto; nunca autorizar cambios por si solo</w:t>
            </w:r>
          </w:p>
        </w:tc>
      </w:tr>
      <w:tr>
        <w:tc>
          <w:tcPr>
            <w:tcW w:type="dxa" w:w="3293"/>
            <w:tcMar>
              <w:top w:w="90" w:type="dxa"/>
              <w:start w:w="100" w:type="dxa"/>
              <w:bottom w:w="90" w:type="dxa"/>
              <w:end w:w="100" w:type="dxa"/>
            </w:tcMar>
          </w:tcPr>
          <w:p>
            <w:r>
              <w:t>3 - Archivo</w:t>
            </w:r>
          </w:p>
        </w:tc>
        <w:tc>
          <w:tcPr>
            <w:tcW w:type="dxa" w:w="3293"/>
            <w:tcMar>
              <w:top w:w="90" w:type="dxa"/>
              <w:start w:w="100" w:type="dxa"/>
              <w:bottom w:w="90" w:type="dxa"/>
              <w:end w:w="100" w:type="dxa"/>
            </w:tcMar>
          </w:tcPr>
          <w:p>
            <w:r>
              <w:t>historico/superseded</w:t>
            </w:r>
          </w:p>
        </w:tc>
        <w:tc>
          <w:tcPr>
            <w:tcW w:type="dxa" w:w="3293"/>
            <w:tcMar>
              <w:top w:w="90" w:type="dxa"/>
              <w:start w:w="100" w:type="dxa"/>
              <w:bottom w:w="90" w:type="dxa"/>
              <w:end w:w="100" w:type="dxa"/>
            </w:tcMar>
          </w:tcPr>
          <w:p>
            <w:r>
              <w:t>Trazabilidad; fuera del contexto activo por defecto</w:t>
            </w:r>
          </w:p>
        </w:tc>
      </w:tr>
    </w:tbl>
    <w:p>
      <w:pPr>
        <w:pStyle w:val="Heading1"/>
      </w:pPr>
      <w:r>
        <w:t>3. Estado actual: Sprint 6.8 sigue abierto</w:t>
      </w:r>
    </w:p>
    <w:p>
      <w:r>
        <w:t>Sprint 6.8 continua siendo el milestone vigente de producto. Su finalidad es cerrar decisiones estructurales y estabilizar el backend suficiente para continuar al MVP. El antiguo Sprint 7 se archiva porque asumio un backend ya finalizado.</w:t>
      </w:r>
    </w:p>
    <w:p>
      <w:pPr>
        <w:pStyle w:val="ListBullet"/>
      </w:pPr>
      <w:r>
        <w:t>Backend: FastAPI async, SQLAlchemy 2.x Async, Pydantic v2, PostgreSQL, Redis, JWT.</w:t>
      </w:r>
    </w:p>
    <w:p>
      <w:pPr>
        <w:pStyle w:val="ListBullet"/>
      </w:pPr>
      <w:r>
        <w:t>Frontend: React + TypeScript + Vite + Chakra UI + TanStack Query + Axios; existe pero puede estar desalineado temporalmente con el backend.</w:t>
      </w:r>
    </w:p>
    <w:p>
      <w:pPr>
        <w:pStyle w:val="ListBullet"/>
      </w:pPr>
      <w:r>
        <w:t>Booking: conservar validaciones de negocio y la operacion transaccional de capacidad/duplicados.</w:t>
      </w:r>
    </w:p>
    <w:p>
      <w:pPr>
        <w:pStyle w:val="ListBullet"/>
      </w:pPr>
      <w:r>
        <w:t>ClassSchedule/RRULE: decision aceptada, pero no declarar implementacion completa sin verificar el codigo actual.</w:t>
      </w:r>
    </w:p>
    <w:p>
      <w:pPr>
        <w:pStyle w:val="ListBullet"/>
      </w:pPr>
      <w:r>
        <w:t>Infra de desarrollo: Docker / Docker Compose, PostgreSQL, Adminer y Redis segun configuracion.</w:t>
      </w:r>
    </w:p>
    <w:p>
      <w:pPr>
        <w:pStyle w:val="Heading1"/>
      </w:pPr>
      <w:r>
        <w:t>4. Arquitectura: baseline y target</w:t>
      </w:r>
    </w:p>
    <w:p>
      <w:pPr>
        <w:pStyle w:val="Heading2"/>
      </w:pPr>
      <w:r>
        <w:t>4.1 Baseline de responsabilidades</w:t>
      </w:r>
    </w:p>
    <w:p>
      <w:pPr>
        <w:spacing w:before="80" w:after="160"/>
        <w:ind w:left="360" w:right="216"/>
        <w:shd w:fill="F3F5F7"/>
      </w:pPr>
      <w:r>
        <w:rPr>
          <w:rFonts w:ascii="Consolas" w:hAnsi="Consolas"/>
          <w:sz w:val="18"/>
        </w:rPr>
        <w:t>Request -&gt; Pydantic Schema -&gt; Router -&gt; Service -&gt; CRUD -&gt; SQLAlchemy Model -&gt; PostgreSQL</w:t>
      </w:r>
    </w:p>
    <w:p>
      <w:pPr>
        <w:pStyle w:val="ListBullet"/>
      </w:pPr>
      <w:r>
        <w:t>Routers/FastAPI: HTTP, DI, auth/roles, status codes, mapeo de errores.</w:t>
      </w:r>
    </w:p>
    <w:p>
      <w:pPr>
        <w:pStyle w:val="ListBullet"/>
      </w:pPr>
      <w:r>
        <w:t>Schemas/Pydantic v2: contratos y validacion estructural.</w:t>
      </w:r>
    </w:p>
    <w:p>
      <w:pPr>
        <w:pStyle w:val="ListBullet"/>
      </w:pPr>
      <w:r>
        <w:t>Services: reglas de negocio y orquestacion.</w:t>
      </w:r>
    </w:p>
    <w:p>
      <w:pPr>
        <w:pStyle w:val="ListBullet"/>
      </w:pPr>
      <w:r>
        <w:t>CRUD: acceso a datos y operaciones transaccionales.</w:t>
      </w:r>
    </w:p>
    <w:p>
      <w:pPr>
        <w:pStyle w:val="ListBullet"/>
      </w:pPr>
      <w:r>
        <w:t>Models/DB: persistencia e integridad estructural.</w:t>
      </w:r>
    </w:p>
    <w:p>
      <w:pPr>
        <w:pStyle w:val="Heading2"/>
      </w:pPr>
      <w:r>
        <w:t>4.2 Target: Modular Monolith</w:t>
      </w:r>
    </w:p>
    <w:p>
      <w:r>
        <w:t>FitFlow se consolidara gradualmente como monolito modular. Esto no autoriza un big-bang refactor ni microservicios prematuros. Primero se estabiliza comportamiento y contratos; despues se reorganiza con pruebas.</w:t>
      </w:r>
    </w:p>
    <w:p>
      <w:pPr>
        <w:pStyle w:val="Heading1"/>
      </w:pPr>
      <w:r>
        <w:t>5. Roadmap de producto</w:t>
      </w:r>
    </w:p>
    <w:p>
      <w:r>
        <w:rPr>
          <w:b/>
        </w:rPr>
        <w:t xml:space="preserve">P0 - Cerrar Sprint 6.8: </w:t>
      </w:r>
      <w:r>
        <w:t>Dominio, tipado, RRULE real, Booking atomico, endpoints MVP, calidad y docs.</w:t>
      </w:r>
    </w:p>
    <w:p>
      <w:r>
        <w:rPr>
          <w:b/>
        </w:rPr>
        <w:t xml:space="preserve">P1 - MVP operativo rebaselined: </w:t>
      </w:r>
      <w:r>
        <w:t>Cliente -&gt; Clase -&gt; Agenda -&gt; Sesion -&gt; Reserva, Front Desk, integracion frontend/backend y UX minima.</w:t>
      </w:r>
    </w:p>
    <w:p>
      <w:r>
        <w:rPr>
          <w:b/>
        </w:rPr>
        <w:t xml:space="preserve">P2 - Testing y estabilizacion: </w:t>
      </w:r>
      <w:r>
        <w:t>Unit/integration/API tests criticos, Alembic, smoke tests y correccion de integracion.</w:t>
      </w:r>
    </w:p>
    <w:p>
      <w:r>
        <w:rPr>
          <w:b/>
        </w:rPr>
        <w:t xml:space="preserve">P3 - Staging/Beta: </w:t>
      </w:r>
      <w:r>
        <w:t>Docker reproducible, environments, logging basico, staging y beta controlada.</w:t>
      </w:r>
    </w:p>
    <w:p>
      <w:r>
        <w:rPr>
          <w:b/>
        </w:rPr>
        <w:t xml:space="preserve">P4 - Post-MVP: </w:t>
      </w:r>
      <w:r>
        <w:t>Asistencia avanzada, metricas, facturacion/pagos y automatizaciones.</w:t>
      </w:r>
    </w:p>
    <w:p>
      <w:pPr>
        <w:pStyle w:val="Heading1"/>
      </w:pPr>
      <w:r>
        <w:t>6. Dos pipelines de desarrollo asistido por IA</w:t>
      </w:r>
    </w:p>
    <w:p>
      <w:pPr>
        <w:pStyle w:val="Heading2"/>
      </w:pPr>
      <w:r>
        <w:t>6.1 Pipeline principal - Codex + Project Index</w:t>
      </w:r>
    </w:p>
    <w:p>
      <w:pPr>
        <w:spacing w:before="80" w:after="160"/>
        <w:ind w:left="360" w:right="216"/>
        <w:shd w:fill="F3F5F7"/>
      </w:pPr>
      <w:r>
        <w:rPr>
          <w:rFonts w:ascii="Consolas" w:hAnsi="Consolas"/>
          <w:sz w:val="18"/>
        </w:rPr>
        <w:t>Task -&gt; Codex -&gt; Project Index (si aporta) -&gt; lectura real -&gt; implementacion -&gt; validacion</w:t>
      </w:r>
    </w:p>
    <w:p>
      <w:pPr>
        <w:pStyle w:val="ListBullet"/>
      </w:pPr>
      <w:r>
        <w:t>Adecuado para auditorias, cambios de mayor alcance y tareas que requieren razonamiento potente.</w:t>
      </w:r>
    </w:p>
    <w:p>
      <w:pPr>
        <w:pStyle w:val="ListBullet"/>
      </w:pPr>
      <w:r>
        <w:t>El indice evita busquedas repetidas, pero el codigo real sigue siendo evidencia final.</w:t>
      </w:r>
    </w:p>
    <w:p>
      <w:pPr>
        <w:pStyle w:val="ListBullet"/>
      </w:pPr>
      <w:r>
        <w:t>AGENTS.md y docs canonicos fijan limites y politica de autonomia.</w:t>
      </w:r>
    </w:p>
    <w:p>
      <w:pPr>
        <w:pStyle w:val="Heading2"/>
      </w:pPr>
      <w:r>
        <w:t>6.2 Pipeline local - AiderDesk</w:t>
      </w:r>
    </w:p>
    <w:p>
      <w:pPr>
        <w:spacing w:before="80" w:after="160"/>
        <w:ind w:left="360" w:right="216"/>
        <w:shd w:fill="F3F5F7"/>
      </w:pPr>
      <w:r>
        <w:rPr>
          <w:rFonts w:ascii="Consolas" w:hAnsi="Consolas"/>
          <w:sz w:val="18"/>
        </w:rPr>
        <w:t>Task -&gt; M-Explorer -&gt; Evidence Handoff -&gt; Worker -&gt; Validation -&gt; Reviewer</w:t>
      </w:r>
    </w:p>
    <w:p>
      <w:pPr>
        <w:pStyle w:val="ListBullet"/>
      </w:pPr>
      <w:r>
        <w:t>Rama independiente para trabajo diario y local.</w:t>
      </w:r>
    </w:p>
    <w:p>
      <w:pPr>
        <w:pStyle w:val="ListBullet"/>
      </w:pPr>
      <w:r>
        <w:t>M-Explorer ya es util como scout, pero sigue en afinacion de paths/contexto/RepoMap.</w:t>
      </w:r>
    </w:p>
    <w:p>
      <w:pPr>
        <w:pStyle w:val="ListBullet"/>
      </w:pPr>
      <w:r>
        <w:t>Worker y Reviewer se mantienen como perfiles preparados; esta rama no bloquea el MVP.</w:t>
      </w:r>
    </w:p>
    <w:p>
      <w:pPr>
        <w:pStyle w:val="Heading1"/>
      </w:pPr>
      <w:r>
        <w:t>7. Project Index v2</w:t>
      </w:r>
    </w:p>
    <w:p>
      <w:r>
        <w:t>El indexador se conserva como una de las piezas mas valiosas del sistema de desarrollo. Su funcion no es competir con el agente, sino generar memoria tecnica reutilizable.</w:t>
      </w:r>
    </w:p>
    <w:p>
      <w:pPr>
        <w:spacing w:before="80" w:after="160"/>
        <w:ind w:left="360" w:right="216"/>
        <w:shd w:fill="F3F5F7"/>
      </w:pPr>
      <w:r>
        <w:rPr>
          <w:rFonts w:ascii="Consolas" w:hAnsi="Consolas"/>
          <w:sz w:val="18"/>
        </w:rPr>
        <w:t>Git snapshot</w:t>
      </w:r>
      <w:r>
        <w:br/>
      </w:r>
      <w:r>
        <w:rPr>
          <w:rFonts w:ascii="Consolas" w:hAnsi="Consolas"/>
          <w:sz w:val="18"/>
        </w:rPr>
        <w:t xml:space="preserve">  -&gt; AST/symbols</w:t>
      </w:r>
      <w:r>
        <w:br/>
      </w:r>
      <w:r>
        <w:rPr>
          <w:rFonts w:ascii="Consolas" w:hAnsi="Consolas"/>
          <w:sz w:val="18"/>
        </w:rPr>
        <w:t xml:space="preserve">  -&gt; normalized relations / pyreverse</w:t>
      </w:r>
      <w:r>
        <w:br/>
      </w:r>
      <w:r>
        <w:rPr>
          <w:rFonts w:ascii="Consolas" w:hAnsi="Consolas"/>
          <w:sz w:val="18"/>
        </w:rPr>
        <w:t xml:space="preserve">  -&gt; docstrings + active docs metadata</w:t>
      </w:r>
      <w:r>
        <w:br/>
      </w:r>
      <w:r>
        <w:rPr>
          <w:rFonts w:ascii="Consolas" w:hAnsi="Consolas"/>
          <w:sz w:val="18"/>
        </w:rPr>
        <w:t xml:space="preserve">  -&gt; optional semantic chunks + embeddings</w:t>
      </w:r>
      <w:r>
        <w:br/>
      </w:r>
      <w:r>
        <w:rPr>
          <w:rFonts w:ascii="Consolas" w:hAnsi="Consolas"/>
          <w:sz w:val="18"/>
        </w:rPr>
        <w:t xml:space="preserve">  -&gt; local storage</w:t>
      </w:r>
      <w:r>
        <w:br/>
      </w:r>
      <w:r>
        <w:rPr>
          <w:rFonts w:ascii="Consolas" w:hAnsi="Consolas"/>
          <w:sz w:val="18"/>
        </w:rPr>
        <w:t xml:space="preserve">  -&gt; query tools</w:t>
      </w:r>
      <w:r>
        <w:br/>
      </w:r>
      <w:r>
        <w:rPr>
          <w:rFonts w:ascii="Consolas" w:hAnsi="Consolas"/>
          <w:sz w:val="18"/>
        </w:rPr>
        <w:t xml:space="preserve">  -&gt; Context Package</w:t>
      </w:r>
    </w:p>
    <w:p>
      <w:pPr>
        <w:pStyle w:val="ListBullet"/>
      </w:pPr>
      <w:r>
        <w:t>EmbeddingGemma pasa de requisito a canal semantico opcional, activado por medicion.</w:t>
      </w:r>
    </w:p>
    <w:p>
      <w:pPr>
        <w:pStyle w:val="ListBullet"/>
      </w:pPr>
      <w:r>
        <w:t>El indice debe ser incremental, pequeno, local y regenerable.</w:t>
      </w:r>
    </w:p>
    <w:p>
      <w:pPr>
        <w:pStyle w:val="ListBullet"/>
      </w:pPr>
      <w:r>
        <w:t>docs/archive queda excluido por defecto.</w:t>
      </w:r>
    </w:p>
    <w:p>
      <w:pPr>
        <w:pStyle w:val="ListBullet"/>
      </w:pPr>
      <w:r>
        <w:t>Las consultas devuelven rutas/rangos/provenance, no grandes narrativas.</w:t>
      </w:r>
    </w:p>
    <w:p>
      <w:pPr>
        <w:pStyle w:val="Heading1"/>
        <w:pageBreakBefore/>
      </w:pPr>
      <w:r>
        <w:t>8. RepoMap y Context Package</w:t>
      </w:r>
    </w:p>
    <w:p>
      <w:r>
        <w:t>Aider puede mantener su RepoMap nativo como hint runtime. No se acoplara el resto del tooling al formato interno de Aider. En su lugar, Project Index emitira una representacion neutral reutilizable.</w:t>
      </w:r>
    </w:p>
    <w:p>
      <w:pPr>
        <w:spacing w:before="80" w:after="160"/>
        <w:ind w:left="360" w:right="216"/>
        <w:shd w:fill="F3F5F7"/>
      </w:pPr>
      <w:r>
        <w:rPr>
          <w:rFonts w:ascii="Consolas" w:hAnsi="Consolas"/>
          <w:sz w:val="18"/>
        </w:rPr>
        <w:t>context_bundle</w:t>
      </w:r>
      <w:r>
        <w:br/>
      </w:r>
      <w:r>
        <w:rPr>
          <w:rFonts w:ascii="Consolas" w:hAnsi="Consolas"/>
          <w:sz w:val="18"/>
        </w:rPr>
        <w:t>├── git revision</w:t>
      </w:r>
      <w:r>
        <w:br/>
      </w:r>
      <w:r>
        <w:rPr>
          <w:rFonts w:ascii="Consolas" w:hAnsi="Consolas"/>
          <w:sz w:val="18"/>
        </w:rPr>
        <w:t>├── query + scope</w:t>
      </w:r>
      <w:r>
        <w:br/>
      </w:r>
      <w:r>
        <w:rPr>
          <w:rFonts w:ascii="Consolas" w:hAnsi="Consolas"/>
          <w:sz w:val="18"/>
        </w:rPr>
        <w:t>├── ranked evidence (path/symbol/lines/reason)</w:t>
      </w:r>
      <w:r>
        <w:br/>
      </w:r>
      <w:r>
        <w:rPr>
          <w:rFonts w:ascii="Consolas" w:hAnsi="Consolas"/>
          <w:sz w:val="18"/>
        </w:rPr>
        <w:t>├── direct relations</w:t>
      </w:r>
      <w:r>
        <w:br/>
      </w:r>
      <w:r>
        <w:rPr>
          <w:rFonts w:ascii="Consolas" w:hAnsi="Consolas"/>
          <w:sz w:val="18"/>
        </w:rPr>
        <w:t>└── architecture hints</w:t>
      </w:r>
    </w:p>
    <w:p>
      <w:pPr>
        <w:pStyle w:val="ListBullet"/>
      </w:pPr>
      <w:r>
        <w:t>Codex puede consumir el bundle a traves de tools/MCP.</w:t>
      </w:r>
    </w:p>
    <w:p>
      <w:pPr>
        <w:pStyle w:val="ListBullet"/>
      </w:pPr>
      <w:r>
        <w:t>AiderDesk puede seguir usando RepoMap propio y el mismo conjunto canonico de docs.</w:t>
      </w:r>
    </w:p>
    <w:p>
      <w:pPr>
        <w:pStyle w:val="ListBullet"/>
      </w:pPr>
      <w:r>
        <w:t>Los dos pipelines apuntan a las mismas coordenadas sin compartir runtime ni memoria conversacional.</w:t>
      </w:r>
    </w:p>
    <w:p>
      <w:pPr>
        <w:pStyle w:val="Heading1"/>
      </w:pPr>
      <w:r>
        <w:t>9. Politica de autonomia</w:t>
      </w:r>
    </w:p>
    <w:tbl>
      <w:tblPr>
        <w:tblStyle w:val="TableGrid"/>
        <w:tblW w:type="auto" w:w="0"/>
        <w:jc w:val="center"/>
        <w:tblLook w:firstColumn="1" w:firstRow="1" w:lastColumn="0" w:lastRow="0" w:noHBand="0" w:noVBand="1" w:val="04A0"/>
      </w:tblPr>
      <w:tblGrid>
        <w:gridCol w:w="4939"/>
        <w:gridCol w:w="4939"/>
      </w:tblGrid>
      <w:tr>
        <w:tc>
          <w:tcPr>
            <w:tcW w:type="dxa" w:w="4939"/>
            <w:shd w:fill="245A73"/>
          </w:tcPr>
          <w:p>
            <w:r>
              <w:rPr>
                <w:color w:val="FFFFFF"/>
              </w:rPr>
              <w:t>Puede hacer autonomamente</w:t>
            </w:r>
          </w:p>
        </w:tc>
        <w:tc>
          <w:tcPr>
            <w:tcW w:type="dxa" w:w="4939"/>
            <w:shd w:fill="245A73"/>
          </w:tcPr>
          <w:p>
            <w:r>
              <w:rPr>
                <w:color w:val="FFFFFF"/>
              </w:rPr>
              <w:t>Requiere decision humana</w:t>
            </w:r>
          </w:p>
        </w:tc>
      </w:tr>
      <w:tr>
        <w:tc>
          <w:tcPr>
            <w:tcW w:type="dxa" w:w="4939"/>
            <w:vAlign w:val="top"/>
            <w:tcMar>
              <w:top w:w="100" w:type="dxa"/>
              <w:start w:w="120" w:type="dxa"/>
              <w:bottom w:w="100" w:type="dxa"/>
              <w:end w:w="120" w:type="dxa"/>
            </w:tcMar>
          </w:tcPr>
          <w:p>
            <w:r>
              <w:t>Explorar read-only</w:t>
              <w:br/>
              <w:t>Cambios acotados con criterio claro</w:t>
              <w:br/>
              <w:t>Tests/lint/type checks</w:t>
              <w:br/>
              <w:t>Correcciones de failures reproducibles</w:t>
              <w:br/>
              <w:t>Proponer mejoras</w:t>
            </w:r>
          </w:p>
        </w:tc>
        <w:tc>
          <w:tcPr>
            <w:tcW w:type="dxa" w:w="4939"/>
            <w:vAlign w:val="top"/>
            <w:tcMar>
              <w:top w:w="100" w:type="dxa"/>
              <w:start w:w="120" w:type="dxa"/>
              <w:bottom w:w="100" w:type="dxa"/>
              <w:end w:w="120" w:type="dxa"/>
            </w:tcMar>
          </w:tcPr>
          <w:p>
            <w:r>
              <w:t>Dominio ambiguo</w:t>
              <w:br/>
              <w:t>Arquitectura target</w:t>
              <w:br/>
              <w:t>Dependencias/frameworks transversales</w:t>
              <w:br/>
              <w:t>Migraciones destructivas</w:t>
              <w:br/>
              <w:t>Ampliar MVP</w:t>
              <w:br/>
              <w:t>Superseder ADRs</w:t>
            </w:r>
          </w:p>
        </w:tc>
      </w:tr>
    </w:tbl>
    <w:p>
      <w:pPr>
        <w:pStyle w:val="Heading1"/>
      </w:pPr>
      <w:r>
        <w:t>10. Documentacion canonica</w:t>
      </w:r>
    </w:p>
    <w:p>
      <w:pPr>
        <w:pStyle w:val="ListBullet"/>
      </w:pPr>
      <w:r>
        <w:t>AGENTS.md: entrada compacta para agentes.</w:t>
      </w:r>
    </w:p>
    <w:p>
      <w:pPr>
        <w:pStyle w:val="ListBullet"/>
      </w:pPr>
      <w:r>
        <w:t>SOURCE_OF_TRUTH.md: jerarquia de autoridad y conflictos.</w:t>
      </w:r>
    </w:p>
    <w:p>
      <w:pPr>
        <w:pStyle w:val="ListBullet"/>
      </w:pPr>
      <w:r>
        <w:t>architecture.md / domain.md / current-state.md / roadmap.md.</w:t>
      </w:r>
    </w:p>
    <w:p>
      <w:pPr>
        <w:pStyle w:val="ListBullet"/>
      </w:pPr>
      <w:r>
        <w:t>ADRs para decisiones estables.</w:t>
      </w:r>
    </w:p>
    <w:p>
      <w:pPr>
        <w:pStyle w:val="ListBullet"/>
      </w:pPr>
      <w:r>
        <w:t>ai/ para tooling de desarrollo.</w:t>
      </w:r>
    </w:p>
    <w:p>
      <w:pPr>
        <w:pStyle w:val="ListBullet"/>
      </w:pPr>
      <w:r>
        <w:t>archive/ fuera del contexto activo por defecto.</w:t>
      </w:r>
    </w:p>
    <w:p>
      <w:pPr>
        <w:pStyle w:val="Heading1"/>
      </w:pPr>
      <w:r>
        <w:t>11. Migracion desde documentos anteriores</w:t>
      </w:r>
    </w:p>
    <w:p>
      <w:r>
        <w:rPr>
          <w:b/>
        </w:rPr>
        <w:t xml:space="preserve">Sprint 7 antiguo: </w:t>
      </w:r>
      <w:r>
        <w:t>historico. Se conserva la intencion de MVP, no el supuesto de backend finalizado.</w:t>
      </w:r>
    </w:p>
    <w:p>
      <w:r>
        <w:rPr>
          <w:b/>
        </w:rPr>
        <w:t xml:space="preserve">Roadmap v1: </w:t>
      </w:r>
      <w:r>
        <w:t>superseded. Se preservan source of truth y modular monolith, pero se adopta el paradigma de dos pipelines y docs canonicos en capas.</w:t>
      </w:r>
    </w:p>
    <w:p>
      <w:r>
        <w:rPr>
          <w:b/>
        </w:rPr>
        <w:t xml:space="preserve">Pipeline Indexador v1: </w:t>
      </w:r>
      <w:r>
        <w:t>superseded como especificacion activa. La version v2 hace la semantica opcional y agrega Context Package neutral.</w:t>
      </w:r>
    </w:p>
    <w:p>
      <w:r>
        <w:rPr>
          <w:b/>
        </w:rPr>
        <w:t xml:space="preserve">Sprint 6.8 original: </w:t>
      </w:r>
      <w:r>
        <w:t>source material. Sus objetivos siguen siendo relevantes, pero sus afirmaciones aspiracionales no se tratan como implementacion confirmada.</w:t>
      </w:r>
    </w:p>
    <w:p>
      <w:pPr>
        <w:pStyle w:val="Heading1"/>
      </w:pPr>
      <w:r>
        <w:t>12. Checkpoints inmediatos</w:t>
      </w:r>
    </w:p>
    <w:p>
      <w:pPr>
        <w:pStyle w:val="ListNumber"/>
      </w:pPr>
      <w:r>
        <w:t>Adoptar AGENTS.md + docs/ como canon documental.</w:t>
      </w:r>
    </w:p>
    <w:p>
      <w:pPr>
        <w:pStyle w:val="ListNumber"/>
      </w:pPr>
      <w:r>
        <w:t>Cerrar ClassSchedule/RRULE por evidencia del codigo y tests.</w:t>
      </w:r>
    </w:p>
    <w:p>
      <w:pPr>
        <w:pStyle w:val="ListNumber"/>
      </w:pPr>
      <w:r>
        <w:t>Validar Booking atomico y contratos de error.</w:t>
      </w:r>
    </w:p>
    <w:p>
      <w:pPr>
        <w:pStyle w:val="ListNumber"/>
      </w:pPr>
      <w:r>
        <w:t>Cerrar endpoints necesarios del MVP sin refactor lateral.</w:t>
      </w:r>
    </w:p>
    <w:p>
      <w:pPr>
        <w:pStyle w:val="ListNumber"/>
      </w:pPr>
      <w:r>
        <w:t>Construir Project Index v1 estructural antes de optimizar embeddings.</w:t>
      </w:r>
    </w:p>
    <w:p>
      <w:pPr>
        <w:pStyle w:val="ListNumber"/>
      </w:pPr>
      <w:r>
        <w:t>Exponer Context Package/tools al pipeline Codex cuando el indice sea estable.</w:t>
      </w:r>
    </w:p>
    <w:p>
      <w:pPr>
        <w:pStyle w:val="ListNumber"/>
      </w:pPr>
      <w:r>
        <w:t>Continuar afinando M-Explorer local sin convertirlo en prerequisito del MVP.</w:t>
      </w:r>
    </w:p>
    <w:p>
      <w:pPr>
        <w:spacing w:before="320"/>
      </w:pPr>
      <w:r>
        <w:rPr>
          <w:b/>
        </w:rPr>
        <w:t xml:space="preserve">Regla final: </w:t>
      </w:r>
      <w:r>
        <w:t>primero se define y verifica el dominio; despues se implementa la tecnologia que lo representa. El tooling de IA debe reducir friccion, no crear una segunda arquitectura paralela.</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Version 2.0 · 12/08/2026 · Documento formal derivado de docs/ canonicos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FITFLOW  |  Arquitectura + Validacion con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