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80"/>
      </w:pPr>
      <w:r>
        <w:rPr>
          <w:rFonts w:ascii="Arial" w:hAnsi="Arial"/>
          <w:b/>
          <w:color w:val="000000"/>
          <w:sz w:val="46"/>
        </w:rPr>
        <w:t>ARQUITECTURA EXPLICADA V4</w:t>
      </w:r>
    </w:p>
    <w:p>
      <w:pPr>
        <w:spacing w:after="280"/>
      </w:pPr>
      <w:r>
        <w:rPr>
          <w:rFonts w:ascii="Arial" w:hAnsi="Arial"/>
          <w:color w:val="373737"/>
          <w:sz w:val="28"/>
        </w:rPr>
        <w:t>Conversión histórica a formato Word</w:t>
      </w:r>
    </w:p>
    <w:p>
      <w:pPr>
        <w:spacing w:after="40" w:line="252" w:lineRule="auto"/>
      </w:pPr>
      <w:r>
        <w:rPr>
          <w:rFonts w:ascii="Arial" w:hAnsi="Arial"/>
          <w:b/>
          <w:color w:val="000000"/>
          <w:sz w:val="21"/>
        </w:rPr>
        <w:t xml:space="preserve">Fuente: </w:t>
      </w:r>
      <w:r>
        <w:rPr>
          <w:rFonts w:ascii="Arial" w:hAnsi="Arial"/>
          <w:color w:val="000000"/>
          <w:sz w:val="21"/>
        </w:rPr>
        <w:t>docs/archive/source-material/architecture-explained.md</w:t>
      </w:r>
    </w:p>
    <w:p>
      <w:pPr>
        <w:spacing w:after="40" w:line="252" w:lineRule="auto"/>
      </w:pPr>
      <w:r>
        <w:rPr>
          <w:rFonts w:ascii="Arial" w:hAnsi="Arial"/>
          <w:b/>
          <w:color w:val="000000"/>
          <w:sz w:val="21"/>
        </w:rPr>
        <w:t xml:space="preserve">Estado: </w:t>
      </w:r>
      <w:r>
        <w:rPr>
          <w:rFonts w:ascii="Arial" w:hAnsi="Arial"/>
          <w:color w:val="000000"/>
          <w:sz w:val="21"/>
        </w:rPr>
        <w:t>Superseded por Baseline vNext 5.0</w:t>
      </w:r>
    </w:p>
    <w:p>
      <w:pPr>
        <w:spacing w:after="40" w:line="252" w:lineRule="auto"/>
      </w:pPr>
      <w:r>
        <w:rPr>
          <w:rFonts w:ascii="Arial" w:hAnsi="Arial"/>
          <w:b/>
          <w:color w:val="000000"/>
          <w:sz w:val="21"/>
        </w:rPr>
        <w:t xml:space="preserve">Conversión: </w:t>
      </w:r>
      <w:r>
        <w:rPr>
          <w:rFonts w:ascii="Arial" w:hAnsi="Arial"/>
          <w:color w:val="000000"/>
          <w:sz w:val="21"/>
        </w:rPr>
        <w:t>18 de agosto de 2026</w:t>
      </w:r>
    </w:p>
    <w:p>
      <w:pPr>
        <w:spacing w:after="40" w:line="252" w:lineRule="auto"/>
      </w:pPr>
      <w:r>
        <w:rPr>
          <w:rFonts w:ascii="Arial" w:hAnsi="Arial"/>
          <w:b/>
          <w:color w:val="000000"/>
          <w:sz w:val="21"/>
        </w:rPr>
        <w:t xml:space="preserve">Autoridad: </w:t>
      </w:r>
      <w:r>
        <w:rPr>
          <w:rFonts w:ascii="Arial" w:hAnsi="Arial"/>
          <w:color w:val="000000"/>
          <w:sz w:val="21"/>
        </w:rPr>
        <w:t>Histórica; no machine context</w:t>
      </w:r>
    </w:p>
    <w:p>
      <w:pPr>
        <w:spacing w:before="140" w:after="40"/>
      </w:pPr>
      <w:r>
        <w:rPr>
          <w:rFonts w:ascii="Arial" w:hAnsi="Arial"/>
          <w:b/>
          <w:color w:val="2E74B5"/>
          <w:sz w:val="21"/>
        </w:rPr>
        <w:t>CONTENIDO PRESERVADO PARA TRAZABILIDAD</w:t>
      </w:r>
    </w:p>
    <w:p>
      <w:pPr>
        <w:spacing w:before="60" w:after="240"/>
        <w:pBdr>
          <w:bottom w:val="single" w:sz="14" w:space="5" w:color="2E74B5"/>
        </w:pBdr>
      </w:pPr>
    </w:p>
    <w:p>
      <w:pPr>
        <w:spacing w:before="80" w:after="160"/>
        <w:ind w:left="202" w:right="202"/>
        <w:shd w:fill="EAF2F8"/>
        <w:pBdr>
          <w:left w:val="single" w:sz="18" w:color="2E74B5" w:space="7"/>
        </w:pBdr>
      </w:pPr>
      <w:r>
        <w:rPr>
          <w:rFonts w:ascii="Calibri" w:hAnsi="Calibri"/>
          <w:b/>
          <w:color w:val="1F4D78"/>
          <w:sz w:val="22"/>
        </w:rPr>
        <w:t xml:space="preserve">Aviso. </w:t>
      </w:r>
      <w:r>
        <w:rPr>
          <w:rFonts w:ascii="Calibri" w:hAnsi="Calibri"/>
          <w:color w:val="202124"/>
          <w:sz w:val="22"/>
        </w:rPr>
        <w:t>Este documento conserva material v4. Para decisiones actuales use los documentos canónicos vNext y la guía para desarrolladores.</w:t>
      </w:r>
    </w:p>
    <w:p>
      <w:r>
        <w:t>--- document_id: FF-HUMAN-ARCH-EXPLAINED-001 status: source_material machine_context: false indexing: excluded updated: 2026-08-16 ---</w:t>
      </w:r>
    </w:p>
    <w:p>
      <w:pPr>
        <w:pStyle w:val="Heading1"/>
      </w:pPr>
      <w:r>
        <w:t>FitFlow: explicacion de la arquitectura</w:t>
      </w:r>
    </w:p>
    <w:p>
      <w:r>
        <w:t>**Tipo:** Material de referencia para personas</w:t>
      </w:r>
    </w:p>
    <w:p>
      <w:r>
        <w:t>**Actualizado:** 2026-08-15</w:t>
      </w:r>
    </w:p>
    <w:p>
      <w:r>
        <w:t>**Documento canonico relacionado:** `architecture.md`</w:t>
      </w:r>
    </w:p>
    <w:p>
      <w:pPr>
        <w:pStyle w:val="Heading2"/>
      </w:pPr>
      <w:r>
        <w:t>1. Objetivo</w:t>
      </w:r>
    </w:p>
    <w:p>
      <w:r>
        <w:t>Este documento explica las decisiones contenidas en `architecture.md`. No define reglas nuevas y no sustituye al documento canonico.</w:t>
      </w:r>
    </w:p>
    <w:p>
      <w:pPr>
        <w:pStyle w:val="Heading2"/>
      </w:pPr>
      <w:r>
        <w:t>2. Que arquitectura tiene FitFlow</w:t>
      </w:r>
    </w:p>
    <w:p>
      <w:r>
        <w:t>FitFlow es actualmente un monolito organizado por capas tecnicas. El backend es una unica aplicacion, se despliega como una unidad y utiliza PostgreSQL como fuente persistente principal.</w:t>
      </w:r>
    </w:p>
    <w:p>
      <w:r>
        <w:t>La organizacion por capas separa responsabilidades:</w:t>
      </w:r>
    </w:p>
    <w:p>
      <w:pPr>
        <w:pStyle w:val="ListBullet"/>
      </w:pPr>
      <w:r>
        <w:t>routers para HTTP;</w:t>
      </w:r>
    </w:p>
    <w:p>
      <w:pPr>
        <w:pStyle w:val="ListBullet"/>
      </w:pPr>
      <w:r>
        <w:t>services para casos de uso y reglas de negocio;</w:t>
      </w:r>
    </w:p>
    <w:p>
      <w:pPr>
        <w:pStyle w:val="ListBullet"/>
      </w:pPr>
      <w:r>
        <w:t>CRUD para acceso y persistencia;</w:t>
      </w:r>
    </w:p>
    <w:p>
      <w:pPr>
        <w:pStyle w:val="ListBullet"/>
      </w:pPr>
      <w:r>
        <w:t>modelos SQLAlchemy para representar la base;</w:t>
      </w:r>
    </w:p>
    <w:p>
      <w:pPr>
        <w:pStyle w:val="ListBullet"/>
      </w:pPr>
      <w:r>
        <w:t>schemas Pydantic para contratos de entrada y salida.</w:t>
      </w:r>
    </w:p>
    <w:p>
      <w:r>
        <w:t>Los dominios no estan agrupados fisicamente en carpetas verticales. Se reconocen mediante archivos equivalentes distribuidos entre las capas. Esta estructura sigue siendo valida para un monolito y permite evolucionar hacia un monolito modular sin una reorganizacion inmediata del repositorio.</w:t>
      </w:r>
    </w:p>
    <w:p>
      <w:pPr>
        <w:pStyle w:val="Heading2"/>
      </w:pPr>
      <w:r>
        <w:t>3. Por que los schemas no forman una capa lineal</w:t>
      </w:r>
    </w:p>
    <w:p>
      <w:r>
        <w:t>La secuencia `Request -&gt; Schema -&gt; Router -&gt; Service -&gt; CRUD -&gt; Model` puede inducir a una interpretacion incorrecta. FastAPI recibe la solicitud, resuelve la ruta y valida los datos declarados antes de ejecutar el handler. El router coordina el limite HTTP y entrega datos validados al service.</w:t>
      </w:r>
    </w:p>
    <w:p>
      <w:r>
        <w:t>En la respuesta, el service puede devolver un objeto ORM ya cargado o un DTO derivado. FastAPI aplica el schema declarado como `response_model` y genera el JSON final.</w:t>
      </w:r>
    </w:p>
    <w:p>
      <w:r>
        <w:t>Por eso, Pydantic participa en los bordes de entrada y salida, pero no es una capa de persistencia entre services y modelos.</w:t>
      </w:r>
    </w:p>
    <w:p>
      <w:pPr>
        <w:pStyle w:val="Heading2"/>
      </w:pPr>
      <w:r>
        <w:t>4. Responsabilidad de routers y services</w:t>
      </w:r>
    </w:p>
    <w:p>
      <w:r>
        <w:t>El router conoce HTTP. Puede conocer el usuario autenticado, los parametros de la solicitud, el status code esperado y la forma publica de la respuesta. No debe decidir si una membresia habilita una reserva, calcular recurrencias ni consultar tablas directamente.</w:t>
      </w:r>
    </w:p>
    <w:p>
      <w:r>
        <w:t>El service representa el caso de uso. Decide que validaciones aplicar, que operaciones coordinar y que error de dominio producir. Una funcion service no necesita ser async por pertenecer a esa capa: solo es async cuando coordina operaciones de entrada/salida.</w:t>
      </w:r>
    </w:p>
    <w:p>
      <w:r>
        <w:t>Los calculos sobre objetos ya cargados y los mappers puros son correctamente sync. Su uso no viola la separacion mientras no provoquen consultas implicitas.</w:t>
      </w:r>
    </w:p>
    <w:p>
      <w:pPr>
        <w:pStyle w:val="Heading2"/>
      </w:pPr>
      <w:r>
        <w:t>5. Responsabilidad de CRUD</w:t>
      </w:r>
    </w:p>
    <w:p>
      <w:r>
        <w:t>CRUD concentra el conocimiento de SQLAlchemy y PostgreSQL. Esto incluye consultas, filtros, eager loading, inserciones, actualizaciones y operaciones atomicas.</w:t>
      </w:r>
    </w:p>
    <w:p>
      <w:r>
        <w:t>Separar estas operaciones evita que cada service construya consultas distintas para el mismo concepto. Tambien permite revisar con mayor claridad donde se aplican locks, transacciones y garantias de consistencia.</w:t>
      </w:r>
    </w:p>
    <w:p>
      <w:r>
        <w:t>Una operacion CRUD puede ser especifica del dominio cuando necesita garantizar atomicidad. La politica que decide cuando ejecutar esa operacion sigue perteneciendo al service.</w:t>
      </w:r>
    </w:p>
    <w:p>
      <w:pPr>
        <w:pStyle w:val="Heading2"/>
      </w:pPr>
      <w:r>
        <w:t>6. Relaciones ORM y carga explicita</w:t>
      </w:r>
    </w:p>
    <w:p>
      <w:r>
        <w:t>El backend async no debe depender de lazy loading implicito. Los CRUD cargan las relaciones requeridas por cada caso de uso mediante estrategias explicitas.</w:t>
      </w:r>
    </w:p>
    <w:p>
      <w:r>
        <w:t>El service puede recorrer relaciones ya cargadas. Si necesita una relacion que la consulta no incluyo, debe corregirse el metodo CRUD correspondiente. No debe abrirse una consulta secundaria de manera accidental desde un mapper.</w:t>
      </w:r>
    </w:p>
    <w:p>
      <w:r>
        <w:t>Esta regla es especialmente importante cuando las relaciones usan `lazy="raise"`, porque convierte una carga omitida en un error visible en lugar de producir I/O inesperado.</w:t>
      </w:r>
    </w:p>
    <w:p>
      <w:pPr>
        <w:pStyle w:val="Heading2"/>
      </w:pPr>
      <w:r>
        <w:t>7. Circularidad de imports</w:t>
      </w:r>
    </w:p>
    <w:p>
      <w:r>
        <w:t>Los ciclos se evitan mediante una direccion estable de dependencias. Routers dependen de services; services dependen de CRUD; CRUD depende de modelos. Las capas inferiores no importan capas superiores.</w:t>
      </w:r>
    </w:p>
    <w:p>
      <w:r>
        <w:t>Los archivos `*_refs.py` resuelven ciclos entre contratos Pydantic anidados. Contienen schemas compactos y sin dependencias hacia services, CRUD o modelos ORM. No solucionan ciclos provocados por consultas SQLAlchemy ubicadas en services.</w:t>
      </w:r>
    </w:p>
    <w:p>
      <w:r>
        <w:t>Los imports locales y `TYPE_CHECKING` pueden ser utiles para anotaciones, pero no reemplazan la correccion de una dependencia bidireccional real.</w:t>
      </w:r>
    </w:p>
    <w:p>
      <w:pPr>
        <w:pStyle w:val="Heading2"/>
      </w:pPr>
      <w:r>
        <w:t>8. Estado actual y transicion</w:t>
      </w:r>
    </w:p>
    <w:p>
      <w:r>
        <w:t>El repositorio todavia contiene routers que acceden directamente a CRUD y services que ejecutan consultas ORM. Esto describe el estado actual, no la arquitectura aprobada para codigo nuevo.</w:t>
      </w:r>
    </w:p>
    <w:p>
      <w:r>
        <w:t>La correccion se realiza gradualmente al intervenir cada caso de uso:</w:t>
      </w:r>
    </w:p>
    <w:p>
      <w:pPr>
        <w:pStyle w:val="ListNumber"/>
      </w:pPr>
      <w:r>
        <w:t>el router delega en un service;</w:t>
      </w:r>
    </w:p>
    <w:p>
      <w:pPr>
        <w:pStyle w:val="ListNumber"/>
      </w:pPr>
      <w:r>
        <w:t>el service conserva decisiones y calculos;</w:t>
      </w:r>
    </w:p>
    <w:p>
      <w:pPr>
        <w:pStyle w:val="ListNumber"/>
      </w:pPr>
      <w:r>
        <w:t>las consultas y la persistencia pasan a CRUD;</w:t>
      </w:r>
    </w:p>
    <w:p>
      <w:pPr>
        <w:pStyle w:val="ListNumber"/>
      </w:pPr>
      <w:r>
        <w:t>las relaciones necesarias se cargan de forma explicita;</w:t>
      </w:r>
    </w:p>
    <w:p>
      <w:pPr>
        <w:pStyle w:val="ListNumber"/>
      </w:pPr>
      <w:r>
        <w:t>el contrato HTTP se valida con Pydantic v2.</w:t>
      </w:r>
    </w:p>
    <w:p>
      <w:r>
        <w:t>No se requiere una reescritura completa para declarar una direccion arquitectonica. La regla evita aumentar la deuda y permite reducirla mediante tareas acotadas.</w:t>
      </w:r>
    </w:p>
    <w:p>
      <w:pPr>
        <w:pStyle w:val="Heading2"/>
      </w:pPr>
      <w:r>
        <w:t>9. Monolito modular como objetivo</w:t>
      </w:r>
    </w:p>
    <w:p>
      <w:r>
        <w:t>Un monolito modular continua siendo una sola aplicacion desplegable. La modularidad surge de limites internos claros, cohesion de dominio y dependencias controladas, no solamente de la disposicion de carpetas.</w:t>
      </w:r>
    </w:p>
    <w:p>
      <w:r>
        <w:t>La estructura actual por capas puede sostener esos limites durante el MVP. Una organizacion vertical por dominio puede evaluarse cuando el volumen del codigo, el ownership o el mantenimiento justifiquen el costo de migracion.</w:t>
      </w:r>
    </w:p>
    <w:p>
      <w:r>
        <w:t>La arquitectura no incorpora microservicios como objetivo automatico. Extraer un modulo exigiria separar datos, contratos, seguridad, observabilidad, despliegue y pruebas. El monolito modular mantiene abierta esa posibilidad sin pagar anticipadamente la complejidad distribuida.</w:t>
      </w:r>
    </w:p>
    <w:p>
      <w:pPr>
        <w:pStyle w:val="Heading2"/>
      </w:pPr>
      <w:r>
        <w:t>10. Auditoria</w:t>
      </w:r>
    </w:p>
    <w:p>
      <w:r>
        <w:t>El sistema conserva timestamps, estados operativos y eliminacion logica donde corresponde. Esto no equivale a una auditoria uniforme por actor.</w:t>
      </w:r>
    </w:p>
    <w:p>
      <w:r>
        <w:t>Agregar `created_by` en funciones aisladas produciria una politica incompleta. La auditoria por actor debe definir previamente alcance, identidad del actor, acciones registradas, retencion, permisos, modelo persistente y migraciones. Hasta entonces, no forma parte del contrato obligatorio de generacion de sesiones.</w:t>
      </w:r>
    </w:p>
    <w:p>
      <w:pPr>
        <w:pStyle w:val="Heading2"/>
      </w:pPr>
      <w:r>
        <w:t>11. Uso de la documentacion</w:t>
      </w:r>
    </w:p>
    <w:p>
      <w:r>
        <w:t>`architecture.md` responde como debe organizarse y evolucionar el sistema. `current-state.md` responde que esta implementado y que desviaciones existen. `quality-and-validation.md` responde como se comprueba. Las tareas delimitan cambios concretos y sus resultados conservan evidencia.</w:t>
      </w:r>
    </w:p>
    <w:p>
      <w:r>
        <w:t>Esta separacion evita que un informe de agente convierta una observacion del codigo en una nueva decision arquitectonica.</w:t>
      </w:r>
    </w:p>
    <w:sectPr w:rsidR="00FC693F" w:rsidRPr="0006063C" w:rsidSect="00034616">
      <w:headerReference w:type="default" r:id="rId9"/>
      <w:footerReference w:type="default" r:id="rId10"/>
      <w:pgSz w:w="12240" w:h="15840"/>
      <w:pgMar w:top="1440" w:right="1440" w:bottom="1440" w:left="1440" w:header="504"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368"/>
        <w:sz w:val="18"/>
      </w:rPr>
      <w:t xml:space="preserve">Página </w:t>
    </w:r>
    <w:r>
      <w:rPr>
        <w:rFonts w:ascii="Calibri" w:hAnsi="Calibri"/>
        <w:color w:val="5F6368"/>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8"/>
      </w:rPr>
      <w:t>FITFLOW  |  ARQUITECTURA EXPLICADA V4  |  HISTÓRICO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Baseline de asistencia IA vNext</dc:subject>
  <dc:creator>FitFlow</dc:creator>
  <cp:keywords>FitFlow, vNext, AI Core, desarrolladores</cp:keywords>
  <dc:description>generated by python-docx</dc:description>
  <cp:lastModifiedBy/>
  <cp:revision>1</cp:revision>
  <dcterms:created xsi:type="dcterms:W3CDTF">2013-12-23T23:15:00Z</dcterms:created>
  <dcterms:modified xsi:type="dcterms:W3CDTF">2013-12-23T23:15:00Z</dcterms:modified>
  <cp:category/>
</cp:coreProperties>
</file>