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80"/>
      </w:pPr>
      <w:r>
        <w:rPr>
          <w:rFonts w:ascii="Arial" w:hAnsi="Arial"/>
          <w:b/>
          <w:color w:val="000000"/>
          <w:sz w:val="46"/>
        </w:rPr>
        <w:t>GUÍA PARA DESARROLLADORES</w:t>
      </w:r>
    </w:p>
    <w:p>
      <w:pPr>
        <w:spacing w:after="280"/>
      </w:pPr>
      <w:r>
        <w:rPr>
          <w:rFonts w:ascii="Arial" w:hAnsi="Arial"/>
          <w:color w:val="373737"/>
          <w:sz w:val="28"/>
        </w:rPr>
        <w:t>FitFlow Baseline vNext 5.0</w:t>
      </w:r>
    </w:p>
    <w:p>
      <w:pPr>
        <w:spacing w:after="40" w:line="252" w:lineRule="auto"/>
      </w:pPr>
      <w:r>
        <w:rPr>
          <w:rFonts w:ascii="Arial" w:hAnsi="Arial"/>
          <w:b/>
          <w:color w:val="000000"/>
          <w:sz w:val="21"/>
        </w:rPr>
        <w:t xml:space="preserve">Audiencia: </w:t>
      </w:r>
      <w:r>
        <w:rPr>
          <w:rFonts w:ascii="Arial" w:hAnsi="Arial"/>
          <w:color w:val="000000"/>
          <w:sz w:val="21"/>
        </w:rPr>
        <w:t>Desarrolladores de FitFlow y mantenedores de FitFlow-ai</w:t>
      </w:r>
    </w:p>
    <w:p>
      <w:pPr>
        <w:spacing w:after="40" w:line="252" w:lineRule="auto"/>
      </w:pPr>
      <w:r>
        <w:rPr>
          <w:rFonts w:ascii="Arial" w:hAnsi="Arial"/>
          <w:b/>
          <w:color w:val="000000"/>
          <w:sz w:val="21"/>
        </w:rPr>
        <w:t xml:space="preserve">Fecha: </w:t>
      </w:r>
      <w:r>
        <w:rPr>
          <w:rFonts w:ascii="Arial" w:hAnsi="Arial"/>
          <w:color w:val="000000"/>
          <w:sz w:val="21"/>
        </w:rPr>
        <w:t>18 de agosto de 2026</w:t>
      </w:r>
    </w:p>
    <w:p>
      <w:pPr>
        <w:spacing w:after="40" w:line="252" w:lineRule="auto"/>
      </w:pPr>
      <w:r>
        <w:rPr>
          <w:rFonts w:ascii="Arial" w:hAnsi="Arial"/>
          <w:b/>
          <w:color w:val="000000"/>
          <w:sz w:val="21"/>
        </w:rPr>
        <w:t xml:space="preserve">Autoridad: </w:t>
      </w:r>
      <w:r>
        <w:rPr>
          <w:rFonts w:ascii="Arial" w:hAnsi="Arial"/>
          <w:color w:val="000000"/>
          <w:sz w:val="21"/>
        </w:rPr>
        <w:t>Explicativa; los documentos canónicos Markdown gobiernan</w:t>
      </w:r>
    </w:p>
    <w:p>
      <w:pPr>
        <w:spacing w:after="40" w:line="252" w:lineRule="auto"/>
      </w:pPr>
      <w:r>
        <w:rPr>
          <w:rFonts w:ascii="Arial" w:hAnsi="Arial"/>
          <w:b/>
          <w:color w:val="000000"/>
          <w:sz w:val="21"/>
        </w:rPr>
        <w:t xml:space="preserve">Fuentes: </w:t>
      </w:r>
      <w:r>
        <w:rPr>
          <w:rFonts w:ascii="Arial" w:hAnsi="Arial"/>
          <w:color w:val="000000"/>
          <w:sz w:val="21"/>
        </w:rPr>
        <w:t>Baseline v4 + informes 01, 02, 02.1, 03, 04 y 05</w:t>
      </w:r>
    </w:p>
    <w:p>
      <w:pPr>
        <w:spacing w:before="140" w:after="40"/>
      </w:pPr>
      <w:r>
        <w:rPr>
          <w:rFonts w:ascii="Arial" w:hAnsi="Arial"/>
          <w:b/>
          <w:color w:val="2E74B5"/>
          <w:sz w:val="21"/>
        </w:rPr>
        <w:t>ESTADO: BASELINE PROPUESTA / ACEPTACIÓN PENDIENTE</w:t>
      </w:r>
    </w:p>
    <w:p>
      <w:pPr>
        <w:spacing w:before="60" w:after="240"/>
        <w:pBdr>
          <w:bottom w:val="single" w:sz="14" w:space="5" w:color="2E74B5"/>
        </w:pBdr>
      </w:pPr>
    </w:p>
    <w:p>
      <w:pPr>
        <w:spacing w:before="80" w:after="160"/>
        <w:ind w:left="202" w:right="202"/>
        <w:shd w:fill="EAF2F8"/>
        <w:pBdr>
          <w:left w:val="single" w:sz="18" w:color="2E74B5" w:space="7"/>
        </w:pBdr>
      </w:pPr>
      <w:r>
        <w:rPr>
          <w:rFonts w:ascii="Calibri" w:hAnsi="Calibri"/>
          <w:b/>
          <w:color w:val="1F4D78"/>
          <w:sz w:val="22"/>
        </w:rPr>
        <w:t xml:space="preserve">Lectura rápida. </w:t>
      </w:r>
      <w:r>
        <w:rPr>
          <w:rFonts w:ascii="Calibri" w:hAnsi="Calibri"/>
          <w:color w:val="202124"/>
          <w:sz w:val="22"/>
        </w:rPr>
        <w:t>vNext no agrega más agentes por sí misma. Separa decisiones, ejecución y evidencia para que cada componente pueda cambiar sin rediseñar el sistema completo.</w:t>
      </w:r>
    </w:p>
    <w:p>
      <w:pPr>
        <w:pStyle w:val="Heading1"/>
      </w:pPr>
      <w:r>
        <w:t>1. Qué cambió</w:t>
      </w:r>
    </w:p>
    <w:p>
      <w:r>
        <w:t>La baseline v4 definía una arquitectura centrada en una superficie de orquestación y adelantaba un pipeline estructural y vectorial amplio. vNext conserva la disciplina de contexto verificable, ownership y aceptación del desarrollador, pero reemplaza las piezas que quedaron obsoletas o demasiado acopladas.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180"/>
        <w:gridCol w:w="3080"/>
        <w:gridCol w:w="4100"/>
      </w:tblGrid>
      <w:tr>
        <w:trPr>
          <w:tblHeader w:val="true"/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Antes (v4)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Ahora (vNext)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Implicación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Codebase gobierna la orquestación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AI Core gobierna; OpenCode es un adapter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El runtime puede reemplazarse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Jira como tracker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GitHub Project + Issues + PR + Actions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Un solo plano operativo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Rol asociado a modelo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Role Registry + Model Resolver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La capacidad se selecciona por task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RepoMap/AST/vectorización temprana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repo-packager determinista; retrieval posterior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Menor complejidad inicial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Review antes de validate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Validate antes de Review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Reviewer recibe evidencia ejecutada</w:t>
            </w:r>
          </w:p>
        </w:tc>
      </w:tr>
      <w:tr>
        <w:trPr>
          <w:cantSplit/>
        </w:trPr>
        <w:tc>
          <w:tcPr>
            <w:tcW w:type="dxa" w:w="2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Aceptación humana</w:t>
            </w:r>
          </w:p>
        </w:tc>
        <w:tc>
          <w:tcPr>
            <w:tcW w:type="dxa" w:w="3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Aceptación del desarrollador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Terminología y enum v2 coherentes</w:t>
            </w:r>
          </w:p>
        </w:tc>
      </w:tr>
    </w:tbl>
    <w:p>
      <w:pPr>
        <w:spacing w:after="40"/>
      </w:pPr>
    </w:p>
    <w:p>
      <w:pPr>
        <w:pStyle w:val="Heading1"/>
      </w:pPr>
      <w:r>
        <w:t>2. Cómo se divide el sistema</w:t>
      </w:r>
    </w:p>
    <w:p>
      <w:r>
        <w:t>FitFlow y FitFlow-ai forman una célula, pero no comparten responsabilidades. La separación permite reutilizar AI Core en otro proyecto sin mover la doctrina del producto.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550"/>
        <w:gridCol w:w="4120"/>
        <w:gridCol w:w="3690"/>
      </w:tblGrid>
      <w:tr>
        <w:trPr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Superficie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Posee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No posee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FitFlow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Código de producto, docs canónicos, Project Profile, contracts y runs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Implementación genérica de AI Core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FitFlow-ai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Workflow genérico, ports, policies, adapters y observer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Reglas de Booking/RRULE o autoridad documental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OpenCode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Sesiones, modelos y tools detrás del adapter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State Machine, gates o DONE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GitHub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Control operativo y visualización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La evidencia JSON completa del run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OpenSpec</w:t>
            </w:r>
          </w:p>
        </w:tc>
        <w:tc>
          <w:tcPr>
            <w:tcW w:type="dxa" w:w="4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Specs y deltas funcionales</w:t>
            </w:r>
          </w:p>
        </w:tc>
        <w:tc>
          <w:tcPr>
            <w:tcW w:type="dxa" w:w="3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TASK, workflow, review o ADR</w:t>
            </w:r>
          </w:p>
        </w:tc>
      </w:tr>
    </w:tbl>
    <w:p>
      <w:pPr>
        <w:spacing w:after="40"/>
      </w:pPr>
    </w:p>
    <w:p>
      <w:pPr>
        <w:pStyle w:val="Heading1"/>
      </w:pPr>
      <w:r>
        <w:t>3. Flujo de una task</w:t>
      </w:r>
    </w:p>
    <w:p>
      <w:pPr>
        <w:spacing w:before="80" w:after="160" w:line="240" w:lineRule="auto"/>
        <w:ind w:left="230" w:right="230"/>
        <w:shd w:fill="F6F8FA"/>
      </w:pPr>
      <w:r>
        <w:rPr>
          <w:rFonts w:ascii="Consolas" w:hAnsi="Consolas"/>
          <w:color w:val="202124"/>
          <w:sz w:val="17"/>
        </w:rPr>
        <w:t>Developer Planner</w:t>
        <w:br/>
        <w:t xml:space="preserve">  -&gt; ROUTING</w:t>
        <w:br/>
        <w:t xml:space="preserve">  -&gt; EXPLORING</w:t>
        <w:br/>
        <w:t xml:space="preserve">  -&gt; EXECUTING</w:t>
        <w:br/>
        <w:t xml:space="preserve">  -&gt; VALIDATING</w:t>
        <w:br/>
        <w:t xml:space="preserve">  -&gt; REVIEWING</w:t>
        <w:br/>
        <w:t xml:space="preserve">  -&gt; DOC_SYNC</w:t>
        <w:br/>
        <w:t xml:space="preserve">  -&gt; PENDING_ACCEPTANCE</w:t>
        <w:br/>
        <w:t xml:space="preserve">  -&gt; Developer: DONE</w:t>
      </w:r>
    </w:p>
    <w:p>
      <w:pPr>
        <w:pStyle w:val="ListNumber"/>
        <w:keepLines/>
        <w:numPr>
          <w:ilvl w:val="0"/>
          <w:numId w:val="10"/>
        </w:numPr>
      </w:pPr>
      <w:r>
        <w:t>El desarrollador define objetivo, scope, riesgo, ownership, criterios y baseline.</w:t>
      </w:r>
    </w:p>
    <w:p>
      <w:pPr>
        <w:pStyle w:val="ListNumber"/>
        <w:keepLines/>
        <w:numPr>
          <w:ilvl w:val="0"/>
          <w:numId w:val="10"/>
        </w:numPr>
      </w:pPr>
      <w:r>
        <w:t>Router aplica reglas deterministas; usa una LLM económica solo si la ruta sigue siendo ambigua.</w:t>
      </w:r>
    </w:p>
    <w:p>
      <w:pPr>
        <w:pStyle w:val="ListNumber"/>
        <w:keepLines/>
        <w:numPr>
          <w:ilvl w:val="0"/>
          <w:numId w:val="10"/>
        </w:numPr>
      </w:pPr>
      <w:r>
        <w:t>Explorer decide qué evidencia necesita el siguiente rol y formula un ContextRequest.</w:t>
      </w:r>
    </w:p>
    <w:p>
      <w:pPr>
        <w:pStyle w:val="ListNumber"/>
        <w:keepLines/>
        <w:numPr>
          <w:ilvl w:val="0"/>
          <w:numId w:val="10"/>
        </w:numPr>
      </w:pPr>
      <w:r>
        <w:t>repo-packager ejecuta el modo solicitado y devuelve contenido, metadata y omissions.</w:t>
      </w:r>
    </w:p>
    <w:p>
      <w:pPr>
        <w:pStyle w:val="ListNumber"/>
        <w:keepLines/>
        <w:numPr>
          <w:ilvl w:val="0"/>
          <w:numId w:val="10"/>
        </w:numPr>
      </w:pPr>
      <w:r>
        <w:t>Model Resolver selecciona un recurso elegible después de conocer rol, riesgo y contexto.</w:t>
      </w:r>
    </w:p>
    <w:p>
      <w:pPr>
        <w:pStyle w:val="ListNumber"/>
        <w:keepLines/>
        <w:numPr>
          <w:ilvl w:val="0"/>
          <w:numId w:val="10"/>
        </w:numPr>
      </w:pPr>
      <w:r>
        <w:t>Coder implementa dentro del ownership; Validator ejecuta gates deterministas.</w:t>
      </w:r>
    </w:p>
    <w:p>
      <w:pPr>
        <w:pStyle w:val="ListNumber"/>
        <w:keepLines/>
        <w:numPr>
          <w:ilvl w:val="0"/>
          <w:numId w:val="10"/>
        </w:numPr>
      </w:pPr>
      <w:r>
        <w:t>Reviewer inspecciona diff, fuente real y ValidationResult; un FAIL vuelve a Router.</w:t>
      </w:r>
    </w:p>
    <w:p>
      <w:pPr>
        <w:pStyle w:val="ListNumber"/>
        <w:keepLines/>
        <w:numPr>
          <w:ilvl w:val="0"/>
          <w:numId w:val="10"/>
        </w:numPr>
      </w:pPr>
      <w:r>
        <w:t>Doc Curator propone cambios durables; el desarrollador acepta, integra y marca DONE.</w:t>
      </w:r>
    </w:p>
    <w:p>
      <w:pPr>
        <w:pStyle w:val="Heading1"/>
      </w:pPr>
      <w:r>
        <w:t>4. Roles y autoridad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200"/>
        <w:gridCol w:w="1650"/>
        <w:gridCol w:w="551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Rol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02124"/>
                <w:sz w:val="18"/>
              </w:rPr>
              <w:t>Estado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Responsabilidad principal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Developer Planner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Activo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Plan, riesgo, decisiones y aceptación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Router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Especificación activa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Seleccionar rol/capacidad o escalar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Model Resolver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Especificación activa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Elegir pool y runtime elegibles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Explorer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Especificación activa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Determinar evidencia mínima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Coder B / A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Especificación activa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Implementación low/medium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Coder Strong A / Architect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Especificación condicional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Escalamiento autorizado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Reviewer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Especificación activa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Findings y veredicto independiente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Doc Curator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Especificación activa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Proponer sincronización documental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Validator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Especificación no agentic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Ejecutar y clasificar gates</w:t>
            </w:r>
          </w:p>
        </w:tc>
      </w:tr>
    </w:tbl>
    <w:p>
      <w:pPr>
        <w:spacing w:after="40"/>
      </w:pPr>
    </w:p>
    <w:p>
      <w:pPr>
        <w:spacing w:before="80" w:after="160"/>
        <w:ind w:left="202" w:right="202"/>
        <w:shd w:fill="EAF2F8"/>
        <w:pBdr>
          <w:left w:val="single" w:sz="18" w:color="2E74B5" w:space="7"/>
        </w:pBdr>
      </w:pPr>
      <w:r>
        <w:rPr>
          <w:rFonts w:ascii="Calibri" w:hAnsi="Calibri"/>
          <w:b/>
          <w:color w:val="1F4D78"/>
          <w:sz w:val="22"/>
        </w:rPr>
        <w:t xml:space="preserve">Regla de autoridad. </w:t>
      </w:r>
      <w:r>
        <w:rPr>
          <w:rFonts w:ascii="Calibri" w:hAnsi="Calibri"/>
          <w:color w:val="202124"/>
          <w:sz w:val="22"/>
        </w:rPr>
        <w:t>El modelo más capaz no obtiene más autoridad. Role Registry define autoridad; Model Registry solo permite encontrar quién puede ejecutar el rol.</w:t>
      </w:r>
    </w:p>
    <w:p>
      <w:pPr>
        <w:pStyle w:val="Heading1"/>
      </w:pPr>
      <w:r>
        <w:t>5. Contexto sin ritual fijo</w:t>
      </w:r>
    </w:p>
    <w:p>
      <w:r>
        <w:t>Explorer puede solicitar cualquier modo directamente. El objetivo es entregar el menor contexto suficiente, no obligar a pasar por tres rondas.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1600"/>
        <w:gridCol w:w="4220"/>
        <w:gridCol w:w="354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Modo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Qué entrega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Cuándo usar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reduced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PageRank, firmas, candidatos, scores y tokens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Overview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drill-down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Mapa focalizado de una zona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Comprender un módulo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expanded</w:t>
            </w:r>
          </w:p>
        </w:tc>
        <w:tc>
          <w:tcPr>
            <w:tcW w:type="dxa" w:w="4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Código real de paths explícitos</w:t>
            </w:r>
          </w:p>
        </w:tc>
        <w:tc>
          <w:tcPr>
            <w:tcW w:type="dxa" w:w="35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Implementar o revisar</w:t>
            </w:r>
          </w:p>
        </w:tc>
      </w:tr>
    </w:tbl>
    <w:p>
      <w:pPr>
        <w:spacing w:after="40"/>
      </w:pPr>
    </w:p>
    <w:p>
      <w:pPr>
        <w:pStyle w:val="ListBullet"/>
        <w:keepLines/>
      </w:pPr>
      <w:r>
        <w:t>repo-packager no explora, no decide suficiencia y no recuerda qué vio un modelo.</w:t>
      </w:r>
    </w:p>
    <w:p>
      <w:pPr>
        <w:pStyle w:val="ListBullet"/>
        <w:keepLines/>
      </w:pPr>
      <w:r>
        <w:t>Un pedido que excede límites devuelve PARTIAL/omitted paths; nunca se trunca en silencio.</w:t>
      </w:r>
    </w:p>
    <w:p>
      <w:pPr>
        <w:pStyle w:val="ListBullet"/>
        <w:keepLines/>
      </w:pPr>
      <w:r>
        <w:t>Tests se incluyen por perfil de consumidor, no por una exclusión universal.</w:t>
      </w:r>
    </w:p>
    <w:p>
      <w:pPr>
        <w:pStyle w:val="ListBullet"/>
        <w:keepLines/>
      </w:pPr>
      <w:r>
        <w:t>Coder y Reviewer deben abrir la fuente real antes de modificar o aprobar.</w:t>
      </w:r>
    </w:p>
    <w:p>
      <w:pPr>
        <w:pStyle w:val="ListBullet"/>
        <w:keepLines/>
      </w:pPr>
      <w:r>
        <w:t>Los bundles stale se rechazan; Run State conserva lineage y expansiones.</w:t>
      </w:r>
    </w:p>
    <w:p>
      <w:pPr>
        <w:pStyle w:val="Heading1"/>
      </w:pPr>
      <w:r>
        <w:t>6. Artefactos y autoridad</w:t>
      </w:r>
    </w:p>
    <w:p>
      <w:r>
        <w:t>Los contracts v2 son el lenguaje estable entre AI Core y sus adapters. Los Markdown son vistas legibles; los JSON del run son evidencia durable.</w:t>
      </w:r>
    </w:p>
    <w:p>
      <w:pPr>
        <w:spacing w:before="80" w:after="160" w:line="240" w:lineRule="auto"/>
        <w:ind w:left="230" w:right="230"/>
        <w:shd w:fill="F6F8FA"/>
      </w:pPr>
      <w:r>
        <w:rPr>
          <w:rFonts w:ascii="Consolas" w:hAnsi="Consolas"/>
          <w:color w:val="202124"/>
          <w:sz w:val="17"/>
        </w:rPr>
        <w:t>.ai/runs/&lt;run_id&gt;/</w:t>
        <w:br/>
        <w:t xml:space="preserve">  run-state.json</w:t>
        <w:br/>
        <w:t xml:space="preserve">  events.jsonl</w:t>
        <w:br/>
        <w:t xml:space="preserve">  route.json</w:t>
        <w:br/>
        <w:t xml:space="preserve">  context-*.json</w:t>
        <w:br/>
        <w:t xml:space="preserve">  execution.json</w:t>
        <w:br/>
        <w:t xml:space="preserve">  validation.json</w:t>
        <w:br/>
        <w:t xml:space="preserve">  review.json</w:t>
        <w:br/>
        <w:t xml:space="preserve">  doc-impact.json</w:t>
        <w:br/>
        <w:t xml:space="preserve">  usage.jsonl</w:t>
        <w:br/>
        <w:t xml:space="preserve">  result.json</w:t>
      </w:r>
    </w:p>
    <w:p>
      <w:pPr>
        <w:pStyle w:val="ListBullet"/>
        <w:keepLines/>
      </w:pPr>
      <w:r>
        <w:t>GitHub Issue es la TASK principal cuando existe sincronización; TASK.md es espejo local.</w:t>
      </w:r>
    </w:p>
    <w:p>
      <w:pPr>
        <w:pStyle w:val="ListBullet"/>
        <w:keepLines/>
      </w:pPr>
      <w:r>
        <w:t>better-sqlite3 implementará el checkpoint/proyección local reconstruible.</w:t>
      </w:r>
    </w:p>
    <w:p>
      <w:pPr>
        <w:pStyle w:val="ListBullet"/>
        <w:keepLines/>
      </w:pPr>
      <w:r>
        <w:t>PR comments, checks y Actions artifacts son visualización o transporte.</w:t>
      </w:r>
    </w:p>
    <w:p>
      <w:pPr>
        <w:pStyle w:val="ListBullet"/>
        <w:keepLines/>
      </w:pPr>
      <w:r>
        <w:t>OpenSpec describe el cambio funcional; no reemplaza la evidencia del run.</w:t>
      </w:r>
    </w:p>
    <w:p>
      <w:pPr>
        <w:pStyle w:val="Heading1"/>
      </w:pPr>
      <w:r>
        <w:t>7. Modelos y FinOps</w:t>
      </w:r>
    </w:p>
    <w:p>
      <w:r>
        <w:t>La selección optimiza el costo del resultado aceptado. Primero se cumplen riesgo, privacidad y calidad; después se elige el recurso suficiente de menor costo total esperado.</w:t>
      </w:r>
    </w:p>
    <w:p>
      <w:pPr>
        <w:spacing w:before="80" w:after="160" w:line="240" w:lineRule="auto"/>
        <w:ind w:left="230" w:right="230"/>
        <w:shd w:fill="F6F8FA"/>
      </w:pPr>
      <w:r>
        <w:rPr>
          <w:rFonts w:ascii="Consolas" w:hAnsi="Consolas"/>
          <w:color w:val="202124"/>
          <w:sz w:val="17"/>
        </w:rPr>
        <w:t>deterministic -&gt; local -&gt; included/quota -&gt; free external -&gt; cloud included -&gt; developer</w:t>
        <w:br/>
        <w:t>paid API: disabled</w:t>
      </w:r>
    </w:p>
    <w:p>
      <w:pPr>
        <w:pStyle w:val="ListBullet"/>
        <w:keepLines/>
      </w:pPr>
      <w:r>
        <w:t>Presupuesto incremental: USD 0.</w:t>
      </w:r>
    </w:p>
    <w:p>
      <w:pPr>
        <w:pStyle w:val="ListBullet"/>
        <w:keepLines/>
      </w:pPr>
      <w:r>
        <w:t>FastContext es candidato de modelo para Explorer, no implementación obligatoria del rol.</w:t>
      </w:r>
    </w:p>
    <w:p>
      <w:pPr>
        <w:pStyle w:val="ListBullet"/>
        <w:keepLines/>
      </w:pPr>
      <w:r>
        <w:t>Los runtime IDs de LM Studio fueron descubiertos en OpenCode; siguen sin benchmark ni conformance.</w:t>
      </w:r>
    </w:p>
    <w:p>
      <w:pPr>
        <w:pStyle w:val="ListBullet"/>
        <w:keepLines/>
      </w:pPr>
      <w:r>
        <w:t>GitHub Copilot queda diferido y solo puede intervenir mediante una orden manual del desarrollador.</w:t>
      </w:r>
    </w:p>
    <w:p>
      <w:pPr>
        <w:pStyle w:val="ListBullet"/>
        <w:keepLines/>
      </w:pPr>
      <w:r>
        <w:t>Free/experimental tiene criticality ceiling bajo y no aprueba arquitectura o review final.</w:t>
      </w:r>
    </w:p>
    <w:p>
      <w:pPr>
        <w:pStyle w:val="ListBullet"/>
        <w:keepLines/>
      </w:pPr>
      <w:r>
        <w:t>Se registran tokens, contexto, latencia, intentos, escalamiento y retrabajo.</w:t>
      </w:r>
    </w:p>
    <w:p>
      <w:pPr>
        <w:pStyle w:val="Heading1"/>
      </w:pPr>
      <w:r>
        <w:t>8. Qué está implementado realmente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</w:tblPr>
      <w:tblGrid>
        <w:gridCol w:w="2450"/>
        <w:gridCol w:w="3560"/>
        <w:gridCol w:w="3350"/>
      </w:tblGrid>
      <w:tr>
        <w:trPr>
          <w:tblHeader w:val="true"/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Capacidad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Estado verificado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02124"/>
                <w:sz w:val="18"/>
              </w:rPr>
              <w:t>Siguiente gate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Baseline vNext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Definida en docs/config/contracts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Aceptación del desarrollador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Repomix 1.18.0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Disponible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Mantener versión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repo-packager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Ejecuta con gaps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FF-AI-VNEXT-006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OpenCode CLI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1.18.18; modelos locales descubiertos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Smoke + conformance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OpenCode Desktop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Interfaz manual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Fuera del adapter automatizado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OpenSpec / gh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1.9.0 / 2.97.0; gh autenticado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Bootstrap + adapters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GitHub Copilot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Diferido; intermediado por desarrollador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Sin acceso programático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AI Core / State Machine / better-sqlite3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No implementado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Tasks 003-004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Agent MVP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No implementado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Tasks 008-009</w:t>
            </w:r>
          </w:p>
        </w:tc>
      </w:tr>
      <w:tr>
        <w:trPr>
          <w:cantSplit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Retrieval / MCP / Temporal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Planned/future</w:t>
            </w:r>
          </w:p>
        </w:tc>
        <w:tc>
          <w:tcPr>
            <w:tcW w:type="dxa" w:w="3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02124"/>
                <w:sz w:val="18"/>
              </w:rPr>
              <w:t>Gates posteriores</w:t>
            </w:r>
          </w:p>
        </w:tc>
      </w:tr>
    </w:tbl>
    <w:p>
      <w:pPr>
        <w:spacing w:after="40"/>
      </w:pPr>
    </w:p>
    <w:p>
      <w:pPr>
        <w:pStyle w:val="Heading1"/>
      </w:pPr>
      <w:r>
        <w:t>9. Secuencia recomendada</w:t>
      </w:r>
    </w:p>
    <w:p>
      <w:pPr>
        <w:pStyle w:val="ListNumber"/>
        <w:keepLines/>
        <w:numPr>
          <w:ilvl w:val="0"/>
          <w:numId w:val="11"/>
        </w:numPr>
      </w:pPr>
      <w:r>
        <w:t>Doctor y compatibilidad sin instalar dependencias.</w:t>
      </w:r>
    </w:p>
    <w:p>
      <w:pPr>
        <w:pStyle w:val="ListNumber"/>
        <w:keepLines/>
        <w:numPr>
          <w:ilvl w:val="0"/>
          <w:numId w:val="11"/>
        </w:numPr>
      </w:pPr>
      <w:r>
        <w:t>Contracts Zod/JSON Schema y loaders de registries.</w:t>
      </w:r>
    </w:p>
    <w:p>
      <w:pPr>
        <w:pStyle w:val="ListNumber"/>
        <w:keepLines/>
        <w:numPr>
          <w:ilvl w:val="0"/>
          <w:numId w:val="11"/>
        </w:numPr>
      </w:pPr>
      <w:r>
        <w:t>State Machine, events JSONL y SQLite projection.</w:t>
      </w:r>
    </w:p>
    <w:p>
      <w:pPr>
        <w:pStyle w:val="ListNumber"/>
        <w:keepLines/>
        <w:numPr>
          <w:ilvl w:val="0"/>
          <w:numId w:val="11"/>
        </w:numPr>
      </w:pPr>
      <w:r>
        <w:t>Project Profile y adapters GitHub/OpenSpec.</w:t>
      </w:r>
    </w:p>
    <w:p>
      <w:pPr>
        <w:pStyle w:val="ListNumber"/>
        <w:keepLines/>
        <w:numPr>
          <w:ilvl w:val="0"/>
          <w:numId w:val="11"/>
        </w:numPr>
      </w:pPr>
      <w:r>
        <w:t>ContextPackager v2 y correcciones de repo-packager.</w:t>
      </w:r>
    </w:p>
    <w:p>
      <w:pPr>
        <w:pStyle w:val="ListNumber"/>
        <w:keepLines/>
        <w:numPr>
          <w:ilvl w:val="0"/>
          <w:numId w:val="11"/>
        </w:numPr>
      </w:pPr>
      <w:r>
        <w:t>Router, Model Resolver y FinOps-as-Code.</w:t>
      </w:r>
    </w:p>
    <w:p>
      <w:pPr>
        <w:pStyle w:val="ListNumber"/>
        <w:keepLines/>
        <w:numPr>
          <w:ilvl w:val="0"/>
          <w:numId w:val="11"/>
        </w:numPr>
      </w:pPr>
      <w:r>
        <w:t>Explorer y conformance del adapter OpenCode.</w:t>
      </w:r>
    </w:p>
    <w:p>
      <w:pPr>
        <w:pStyle w:val="ListNumber"/>
        <w:keepLines/>
        <w:numPr>
          <w:ilvl w:val="0"/>
          <w:numId w:val="11"/>
        </w:numPr>
      </w:pPr>
      <w:r>
        <w:t>Coder/Validator/Reviewer/Doc Curator como Agent MVP.</w:t>
      </w:r>
    </w:p>
    <w:p>
      <w:pPr>
        <w:pStyle w:val="ListNumber"/>
        <w:keepLines/>
        <w:numPr>
          <w:ilvl w:val="0"/>
          <w:numId w:val="11"/>
        </w:numPr>
      </w:pPr>
      <w:r>
        <w:t>Fitness functions, Workflow Observer y CI.</w:t>
      </w:r>
    </w:p>
    <w:p>
      <w:pPr>
        <w:pStyle w:val="ListNumber"/>
        <w:keepLines/>
        <w:numPr>
          <w:ilvl w:val="0"/>
          <w:numId w:val="11"/>
        </w:numPr>
      </w:pPr>
      <w:r>
        <w:t>Retrieval semántico, MCP y Temporal solo tras métricas y gates.</w:t>
      </w:r>
    </w:p>
    <w:p>
      <w:pPr>
        <w:pStyle w:val="Heading1"/>
      </w:pPr>
      <w:r>
        <w:t>10. Checklist para iniciar una task</w:t>
      </w:r>
    </w:p>
    <w:p>
      <w:pPr>
        <w:pStyle w:val="ListBullet"/>
        <w:keepLines/>
      </w:pPr>
      <w:r>
        <w:t>Clasificar backend, frontend o mixed.</w:t>
      </w:r>
    </w:p>
    <w:p>
      <w:pPr>
        <w:pStyle w:val="ListBullet"/>
        <w:keepLines/>
      </w:pPr>
      <w:r>
        <w:t>Confirmar baseline/fingerprint, risk y ownership keys.</w:t>
      </w:r>
    </w:p>
    <w:p>
      <w:pPr>
        <w:pStyle w:val="ListBullet"/>
        <w:keepLines/>
      </w:pPr>
      <w:r>
        <w:t>Usar solo required_docs; excluir source material.</w:t>
      </w:r>
    </w:p>
    <w:p>
      <w:pPr>
        <w:pStyle w:val="ListBullet"/>
        <w:keepLines/>
      </w:pPr>
      <w:r>
        <w:t>Registrar Issue o fallback TASK local, nunca dos fuentes editables.</w:t>
      </w:r>
    </w:p>
    <w:p>
      <w:pPr>
        <w:pStyle w:val="ListBullet"/>
        <w:keepLines/>
      </w:pPr>
      <w:r>
        <w:t>Solicitar contexto explícito y tratar PARTIAL/STALE como no suficiente.</w:t>
      </w:r>
    </w:p>
    <w:p>
      <w:pPr>
        <w:pStyle w:val="ListBullet"/>
        <w:keepLines/>
      </w:pPr>
      <w:r>
        <w:t>Ejecutar Validation antes de Review.</w:t>
      </w:r>
    </w:p>
    <w:p>
      <w:pPr>
        <w:pStyle w:val="ListBullet"/>
        <w:keepLines/>
      </w:pPr>
      <w:r>
        <w:t>Producir REVIEW.md, VALIDATION.md y RESULT.md con evidencia.</w:t>
      </w:r>
    </w:p>
    <w:p>
      <w:pPr>
        <w:pStyle w:val="ListBullet"/>
        <w:keepLines/>
      </w:pPr>
      <w:r>
        <w:t>Dejar PENDING_ACCEPTANCE; el desarrollador decide DONE.</w:t>
      </w:r>
    </w:p>
    <w:p>
      <w:pPr>
        <w:pStyle w:val="Heading1"/>
      </w:pPr>
      <w:r>
        <w:t>11. Fuentes y trazabilidad</w:t>
      </w:r>
    </w:p>
    <w:p>
      <w:r>
        <w:t>La baseline combina FitFlow Source of Truth v4, el estado real del workspace y los seis informes archivados en docs/archive/source-material/vnext-inputs. Las decisiones finales se materializan en AGENTS.md, docs/SOURCE_OF_TRUTH.md, docs/ai, ADR 0014-0017, .ai/config y .ai/contracts/v2.</w:t>
      </w:r>
    </w:p>
    <w:p>
      <w:pPr>
        <w:pStyle w:val="ListBullet"/>
        <w:keepLines/>
      </w:pPr>
      <w:r>
        <w:t>01 - Informe_Arquitectura_Desarrollo_IA_FitFlow.docx</w:t>
      </w:r>
    </w:p>
    <w:p>
      <w:pPr>
        <w:pStyle w:val="ListBullet"/>
        <w:keepLines/>
      </w:pPr>
      <w:r>
        <w:t>02 - Anexo 1— Estado operativo y evaluación de patrones agentic TypeScript.docx</w:t>
      </w:r>
    </w:p>
    <w:p>
      <w:pPr>
        <w:pStyle w:val="ListBullet"/>
        <w:keepLines/>
      </w:pPr>
      <w:r>
        <w:t>02.1 - Anexo 2 de validación del sistema de asistencia IA.docx</w:t>
      </w:r>
    </w:p>
    <w:p>
      <w:pPr>
        <w:pStyle w:val="ListBullet"/>
        <w:keepLines/>
      </w:pPr>
      <w:r>
        <w:t>03 - Informe_Arquitectura_Propuesta_Sistema_Asistencia_IA_vNext.docx</w:t>
      </w:r>
    </w:p>
    <w:p>
      <w:pPr>
        <w:pStyle w:val="ListBullet"/>
        <w:keepLines/>
      </w:pPr>
      <w:r>
        <w:t>04 - Informe_Herramientas_Skills_Capability_Mapping_vNext.docx</w:t>
      </w:r>
    </w:p>
    <w:p>
      <w:pPr>
        <w:pStyle w:val="ListBullet"/>
        <w:keepLines/>
      </w:pPr>
      <w:r>
        <w:t>05 - Anexo_FinOps_as_Code_AI_Tooling_vNext.docx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5F6368"/>
        <w:sz w:val="18"/>
      </w:rPr>
      <w:t xml:space="preserve">Página </w:t>
    </w:r>
    <w:r>
      <w:rPr>
        <w:rFonts w:ascii="Calibri" w:hAnsi="Calibri"/>
        <w:color w:val="5F6368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5F6368"/>
        <w:sz w:val="18"/>
      </w:rPr>
      <w:t>FITFLOW  |  BASELINE VNEXT  |  GUÍA PARA DESARROLLADORES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Baseline de asistencia IA vNext</dc:subject>
  <dc:creator>FitFlow</dc:creator>
  <cp:keywords>FitFlow, vNext, AI Core, desarrolladores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