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80"/>
      </w:pPr>
      <w:r>
        <w:rPr>
          <w:rFonts w:ascii="Arial" w:hAnsi="Arial"/>
          <w:b/>
          <w:color w:val="000000"/>
          <w:sz w:val="46"/>
        </w:rPr>
        <w:t>REGISTRO DE DECISIONES</w:t>
      </w:r>
    </w:p>
    <w:p>
      <w:pPr>
        <w:spacing w:after="280"/>
      </w:pPr>
      <w:r>
        <w:rPr>
          <w:rFonts w:ascii="Arial" w:hAnsi="Arial"/>
          <w:color w:val="373737"/>
          <w:sz w:val="28"/>
        </w:rPr>
        <w:t>FitFlow Baseline vNext 5.0</w:t>
      </w:r>
    </w:p>
    <w:p>
      <w:pPr>
        <w:spacing w:after="40" w:line="252" w:lineRule="auto"/>
      </w:pPr>
      <w:r>
        <w:rPr>
          <w:rFonts w:ascii="Arial" w:hAnsi="Arial"/>
          <w:b/>
          <w:color w:val="000000"/>
          <w:sz w:val="21"/>
        </w:rPr>
        <w:t xml:space="preserve">Propósito: </w:t>
      </w:r>
      <w:r>
        <w:rPr>
          <w:rFonts w:ascii="Arial" w:hAnsi="Arial"/>
          <w:color w:val="000000"/>
          <w:sz w:val="21"/>
        </w:rPr>
        <w:t>Trazar qué se adopta, difiere, reemplaza o rechaza</w:t>
      </w:r>
    </w:p>
    <w:p>
      <w:pPr>
        <w:spacing w:after="40" w:line="252" w:lineRule="auto"/>
      </w:pPr>
      <w:r>
        <w:rPr>
          <w:rFonts w:ascii="Arial" w:hAnsi="Arial"/>
          <w:b/>
          <w:color w:val="000000"/>
          <w:sz w:val="21"/>
        </w:rPr>
        <w:t xml:space="preserve">Fecha de corte: </w:t>
      </w:r>
      <w:r>
        <w:rPr>
          <w:rFonts w:ascii="Arial" w:hAnsi="Arial"/>
          <w:color w:val="000000"/>
          <w:sz w:val="21"/>
        </w:rPr>
        <w:t>18 de agosto de 2026</w:t>
      </w:r>
    </w:p>
    <w:p>
      <w:pPr>
        <w:spacing w:after="40" w:line="252" w:lineRule="auto"/>
      </w:pPr>
      <w:r>
        <w:rPr>
          <w:rFonts w:ascii="Arial" w:hAnsi="Arial"/>
          <w:b/>
          <w:color w:val="000000"/>
          <w:sz w:val="21"/>
        </w:rPr>
        <w:t xml:space="preserve">Estado: </w:t>
      </w:r>
      <w:r>
        <w:rPr>
          <w:rFonts w:ascii="Arial" w:hAnsi="Arial"/>
          <w:color w:val="000000"/>
          <w:sz w:val="21"/>
        </w:rPr>
        <w:t>Aprobación del desarrollador pendiente</w:t>
      </w:r>
    </w:p>
    <w:p>
      <w:pPr>
        <w:spacing w:after="40" w:line="252" w:lineRule="auto"/>
      </w:pPr>
      <w:r>
        <w:rPr>
          <w:rFonts w:ascii="Arial" w:hAnsi="Arial"/>
          <w:b/>
          <w:color w:val="000000"/>
          <w:sz w:val="21"/>
        </w:rPr>
        <w:t xml:space="preserve">Autoridad: </w:t>
      </w:r>
      <w:r>
        <w:rPr>
          <w:rFonts w:ascii="Arial" w:hAnsi="Arial"/>
          <w:color w:val="000000"/>
          <w:sz w:val="21"/>
        </w:rPr>
        <w:t>Explicativa; ADR 0014-0017 y docs canónicos gobiernan</w:t>
      </w:r>
    </w:p>
    <w:p>
      <w:pPr>
        <w:spacing w:before="140" w:after="40"/>
      </w:pPr>
      <w:r>
        <w:rPr>
          <w:rFonts w:ascii="Arial" w:hAnsi="Arial"/>
          <w:b/>
          <w:color w:val="2E74B5"/>
          <w:sz w:val="21"/>
        </w:rPr>
        <w:t>ALCANCE: ARQUITECTURA Y PLAN DE IMPLEMENTACIÓN, NO IMPLEMENTACIÓN FUNCIONAL</w:t>
      </w:r>
    </w:p>
    <w:p>
      <w:pPr>
        <w:spacing w:before="60" w:after="240"/>
        <w:pBdr>
          <w:bottom w:val="single" w:sz="14" w:space="5" w:color="2E74B5"/>
        </w:pBdr>
      </w:pPr>
    </w:p>
    <w:p>
      <w:pPr>
        <w:pStyle w:val="Heading1"/>
      </w:pPr>
      <w:r>
        <w:t>1. Resultado ejecutivo</w:t>
      </w:r>
    </w:p>
    <w:p>
      <w:r>
        <w:t>vNext conserva el enfoque context-first de v4, pero mueve la estabilidad a contratos, ports, registries y policies. Las herramientas concretas se convierten en adapters reemplazables. El MVP se reduce a Pipeline + Router + State Machine + contexto determinista + gates del desarrollador.</w:t>
      </w:r>
    </w:p>
    <w:p>
      <w:pPr>
        <w:spacing w:before="80" w:after="160"/>
        <w:ind w:left="202" w:right="202"/>
        <w:shd w:fill="EAF2F8"/>
        <w:pBdr>
          <w:left w:val="single" w:sz="18" w:color="2E74B5" w:space="7"/>
        </w:pBdr>
      </w:pPr>
      <w:r>
        <w:rPr>
          <w:rFonts w:ascii="Calibri" w:hAnsi="Calibri"/>
          <w:b/>
          <w:color w:val="1F4D78"/>
          <w:sz w:val="22"/>
        </w:rPr>
        <w:t xml:space="preserve">Decisión central. </w:t>
      </w:r>
      <w:r>
        <w:rPr>
          <w:rFonts w:ascii="Calibri" w:hAnsi="Calibri"/>
          <w:color w:val="202124"/>
          <w:sz w:val="22"/>
        </w:rPr>
        <w:t>TypeScript decide qué paso ocurre; una LLM resuelve el trabajo permitido dentro de ese paso.</w:t>
      </w:r>
    </w:p>
    <w:p>
      <w:pPr>
        <w:pStyle w:val="Heading1"/>
      </w:pPr>
      <w:r>
        <w:t>2. Decisiones adoptadas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900"/>
        <w:gridCol w:w="3560"/>
        <w:gridCol w:w="2140"/>
        <w:gridCol w:w="2760"/>
      </w:tblGrid>
      <w:tr>
        <w:trPr>
          <w:tblHeader w:val="true"/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  <w:t>ID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Decisión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  <w:t>Estado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Evidencia canónica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D-01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AI Core + Project Profile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ADR 0014 / ai-core-architecture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D-02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OpenCode detrás de AgentRuntimePort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Pendiente de conformance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ADR 0014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D-03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Workflow-as-Code TypeScript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development-pipeline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D-04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Developer Planner activo; PlannerAI disabled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roles.yaml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D-05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Router deterministic-first + LLM fallback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roles/model routing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D-06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Model Resolver separado del Router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models.yaml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D-07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Explorer decide; repo-packager empaqueta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 con gaps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ADR 0015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D-08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Validate antes de Review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orchestrator.yaml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D-09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Doc Curator activo sin promoción automática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roles.yaml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D-10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GitHub como plano de control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Pendiente adapter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ADR 0016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D-11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OpenSpec solo para specs funcionales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Pendiente bootstrap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ADR 0016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D-12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JSON durable + SQLite projection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Pendiente implementación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ADR 0017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D-13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FinOps USD 0; paid disabled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finops.yaml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D-14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Workflow Observer local primero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Planned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ADR 0017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D-15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Copilot diferido; intermediación del desarrollador</w:t>
            </w:r>
          </w:p>
        </w:tc>
        <w:tc>
          <w:tcPr>
            <w:tcW w:type="dxa" w:w="2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models/finops</w:t>
            </w:r>
          </w:p>
        </w:tc>
      </w:tr>
    </w:tbl>
    <w:p>
      <w:pPr>
        <w:spacing w:after="40"/>
      </w:pPr>
    </w:p>
    <w:p>
      <w:pPr>
        <w:pStyle w:val="Heading1"/>
      </w:pPr>
      <w:r>
        <w:t>3. Decisiones reemplazadas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270"/>
        <w:gridCol w:w="2000"/>
        <w:gridCol w:w="4090"/>
      </w:tblGrid>
      <w:tr>
        <w:trPr>
          <w:tblHeader w:val="true"/>
          <w:cantSplit/>
        </w:trPr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Elemento v4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  <w:t>Tratamiento vNext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Sucesor</w:t>
            </w:r>
          </w:p>
        </w:tc>
      </w:tr>
      <w:tr>
        <w:trPr>
          <w:cantSplit/>
        </w:trPr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Codebase como orquestador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Superseded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ADR 0014</w:t>
            </w:r>
          </w:p>
        </w:tc>
      </w:tr>
      <w:tr>
        <w:trPr>
          <w:cantSplit/>
        </w:trPr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Jira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Removed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GitHub Project/Issues</w:t>
            </w:r>
          </w:p>
        </w:tc>
      </w:tr>
      <w:tr>
        <w:trPr>
          <w:cantSplit/>
        </w:trPr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RepoMap/AST custom principal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Superseded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ContextPackager/repo-packager</w:t>
            </w:r>
          </w:p>
        </w:tc>
      </w:tr>
      <w:tr>
        <w:trPr>
          <w:cantSplit/>
        </w:trPr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LlamaIndex/Qdrant temprano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Deferred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Task vNext 011</w:t>
            </w:r>
          </w:p>
        </w:tc>
      </w:tr>
      <w:tr>
        <w:trPr>
          <w:cantSplit/>
        </w:trPr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Phoenix inicial obligatorio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Superseded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Observer local</w:t>
            </w:r>
          </w:p>
        </w:tc>
      </w:tr>
      <w:tr>
        <w:trPr>
          <w:cantSplit/>
        </w:trPr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Review -&gt; Validate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Superseded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Validate -&gt; Review</w:t>
            </w:r>
          </w:p>
        </w:tc>
      </w:tr>
      <w:tr>
        <w:trPr>
          <w:cantSplit/>
        </w:trPr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human enum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Migrated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developer enum v2</w:t>
            </w:r>
          </w:p>
        </w:tc>
      </w:tr>
      <w:tr>
        <w:trPr>
          <w:cantSplit/>
        </w:trPr>
        <w:tc>
          <w:tcPr>
            <w:tcW w:type="dxa" w:w="3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FF-AI-000..012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Superseded backlog</w:t>
            </w:r>
          </w:p>
        </w:tc>
        <w:tc>
          <w:tcPr>
            <w:tcW w:type="dxa" w:w="4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FF-AI-VNEXT-002..013</w:t>
            </w:r>
          </w:p>
        </w:tc>
      </w:tr>
    </w:tbl>
    <w:p>
      <w:pPr>
        <w:spacing w:after="40"/>
      </w:pPr>
    </w:p>
    <w:p>
      <w:pPr>
        <w:pStyle w:val="Heading1"/>
      </w:pPr>
      <w:r>
        <w:t>4. Contratos estables</w:t>
      </w:r>
    </w:p>
    <w:p>
      <w:r>
        <w:t>Los adapters pueden cambiar sin alterar estos artefactos. La serialización neutral usa JSON Schema; AI Core usará Zod y los bordes Python pueden usar Pydantic.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Familia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Contratos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Trabajo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Task, RouteDecision, ExecutionResult, RunResult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Contexto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ContextRequest, ContextPackageResult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Gates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ValidationResult, ReviewResult, DocImpact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Runtime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RunEvent, RunState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FinOps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UsageRecord, FinOpsSummary</w:t>
            </w:r>
          </w:p>
        </w:tc>
      </w:tr>
    </w:tbl>
    <w:p>
      <w:pPr>
        <w:spacing w:after="40"/>
      </w:pPr>
    </w:p>
    <w:p>
      <w:pPr>
        <w:pStyle w:val="Heading1"/>
      </w:pPr>
      <w:r>
        <w:t>5. Autoridad y persistencia</w:t>
      </w:r>
    </w:p>
    <w:p>
      <w:pPr>
        <w:pStyle w:val="ListNumber"/>
        <w:keepLines/>
        <w:numPr>
          <w:ilvl w:val="0"/>
          <w:numId w:val="10"/>
        </w:numPr>
      </w:pPr>
      <w:r>
        <w:t>Código, tests, configuración y migraciones verificadas describen la realidad ejecutable.</w:t>
      </w:r>
    </w:p>
    <w:p>
      <w:pPr>
        <w:pStyle w:val="ListNumber"/>
        <w:keepLines/>
        <w:numPr>
          <w:ilvl w:val="0"/>
          <w:numId w:val="10"/>
        </w:numPr>
      </w:pPr>
      <w:r>
        <w:t>Docs canónicos y ADR describen intención, fronteras y decisiones aceptadas.</w:t>
      </w:r>
    </w:p>
    <w:p>
      <w:pPr>
        <w:pStyle w:val="ListNumber"/>
        <w:keepLines/>
        <w:numPr>
          <w:ilvl w:val="0"/>
          <w:numId w:val="10"/>
        </w:numPr>
      </w:pPr>
      <w:r>
        <w:t>GitHub conserva control operativo cuando el adapter existe.</w:t>
      </w:r>
    </w:p>
    <w:p>
      <w:pPr>
        <w:pStyle w:val="ListNumber"/>
        <w:keepLines/>
        <w:numPr>
          <w:ilvl w:val="0"/>
          <w:numId w:val="10"/>
        </w:numPr>
      </w:pPr>
      <w:r>
        <w:t>Artefactos JSON en .ai/runs conservan decisiones y evidencia del run.</w:t>
      </w:r>
    </w:p>
    <w:p>
      <w:pPr>
        <w:pStyle w:val="ListNumber"/>
        <w:keepLines/>
        <w:numPr>
          <w:ilvl w:val="0"/>
          <w:numId w:val="10"/>
        </w:numPr>
      </w:pPr>
      <w:r>
        <w:t>repo-packager, Repomix, grafos e índices son contexto derivado.</w:t>
      </w:r>
    </w:p>
    <w:p>
      <w:pPr>
        <w:pStyle w:val="ListNumber"/>
        <w:keepLines/>
        <w:numPr>
          <w:ilvl w:val="0"/>
          <w:numId w:val="10"/>
        </w:numPr>
      </w:pPr>
      <w:r>
        <w:t>Informes y material para desarrolladores viven en archive/source-material y no entran al contexto automático.</w:t>
      </w:r>
    </w:p>
    <w:p>
      <w:pPr>
        <w:pStyle w:val="Heading1"/>
      </w:pPr>
      <w:r>
        <w:t>6. Compatibilidad v1 → v2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600"/>
        <w:gridCol w:w="3000"/>
        <w:gridCol w:w="37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v1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v2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Regla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author_role: human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author_role: developer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Transformación explícita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lane: human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lane: developer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Sin alias runtime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PLAN/EXPLORE/EXECUTE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PLANNING/EXPLORING/EXECUTING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Mapeo de estado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REVIEW/VALIDATE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VALIDATING/REVIEWING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No reordenar historia v1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baseline_revision + fingerprint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baseline object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Agrupación estructural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modelo dentro del rol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UsageRecord + Model Resolver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Desacoplamiento</w:t>
            </w:r>
          </w:p>
        </w:tc>
      </w:tr>
    </w:tbl>
    <w:p>
      <w:pPr>
        <w:spacing w:after="40"/>
      </w:pPr>
    </w:p>
    <w:p>
      <w:pPr>
        <w:spacing w:before="80" w:after="160"/>
        <w:ind w:left="202" w:right="202"/>
        <w:shd w:fill="EAF2F8"/>
        <w:pBdr>
          <w:left w:val="single" w:sz="18" w:color="2E74B5" w:space="7"/>
        </w:pBdr>
      </w:pPr>
      <w:r>
        <w:rPr>
          <w:rFonts w:ascii="Calibri" w:hAnsi="Calibri"/>
          <w:b/>
          <w:color w:val="1F4D78"/>
          <w:sz w:val="22"/>
        </w:rPr>
        <w:t xml:space="preserve">Invariante de migración. </w:t>
      </w:r>
      <w:r>
        <w:rPr>
          <w:rFonts w:ascii="Calibri" w:hAnsi="Calibri"/>
          <w:color w:val="202124"/>
          <w:sz w:val="22"/>
        </w:rPr>
        <w:t>Un run no mezcla schemas v1 y v2. Los artefactos históricos conservan su semántica y orden original.</w:t>
      </w:r>
    </w:p>
    <w:p>
      <w:pPr>
        <w:pStyle w:val="Heading1"/>
      </w:pPr>
      <w:r>
        <w:t>7. Estado de herramientas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460"/>
        <w:gridCol w:w="3590"/>
        <w:gridCol w:w="3310"/>
      </w:tblGrid>
      <w:tr>
        <w:trPr>
          <w:tblHeader w:val="true"/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Herramienta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Estado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Decisión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Repomix 1.18.0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Verificada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repo-packager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Ejecuta; 5 gaps conocidos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 con correcciones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OpenCode CLI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1.18.18; IDs locales descubiertos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Adapter pendiente de conformance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OpenCode Desktop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Interfaz manual disponible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Fuera del adapter automatizado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OpenSpec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1.9.0; raíz no inicializada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Adoptada pendiente de bootstrap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GitHub CLI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2.97.0; autenticada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Adapter pendiente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GitHub Copilot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Sin acceso programático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Diferido; intermediado por desarrollador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better-sqlite3 13.0.3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Smoke PASS fuera de FitFlow-ai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Projection store inicial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LlamaIndex/Qdrant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No verificados en vNext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Deferred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Braintrust/Phoenix/Promptfoo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No adoptados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Evaluate later</w:t>
            </w:r>
          </w:p>
        </w:tc>
      </w:tr>
      <w:tr>
        <w:trPr>
          <w:cantSplit/>
        </w:trPr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Temporal</w:t>
            </w:r>
          </w:p>
        </w:tc>
        <w:tc>
          <w:tcPr>
            <w:tcW w:type="dxa" w:w="35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No adoptado</w:t>
            </w:r>
          </w:p>
        </w:tc>
        <w:tc>
          <w:tcPr>
            <w:tcW w:type="dxa" w:w="33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Post-MVP</w:t>
            </w:r>
          </w:p>
        </w:tc>
      </w:tr>
    </w:tbl>
    <w:p>
      <w:pPr>
        <w:spacing w:after="40"/>
      </w:pPr>
    </w:p>
    <w:p>
      <w:pPr>
        <w:pStyle w:val="Heading1"/>
      </w:pPr>
      <w:r>
        <w:t>8. Gates de implementación</w:t>
      </w:r>
    </w:p>
    <w:p>
      <w:pPr>
        <w:pStyle w:val="ListBullet"/>
        <w:keepLines/>
      </w:pPr>
      <w:r>
        <w:t>Doctor reproduce versiones y capabilities sin instalar dependencias.</w:t>
      </w:r>
    </w:p>
    <w:p>
      <w:pPr>
        <w:pStyle w:val="ListBullet"/>
        <w:keepLines/>
      </w:pPr>
      <w:r>
        <w:t>Schemas y registries pasan validación y conformance tests.</w:t>
      </w:r>
    </w:p>
    <w:p>
      <w:pPr>
        <w:pStyle w:val="ListBullet"/>
        <w:keepLines/>
      </w:pPr>
      <w:r>
        <w:t>State Machine prueba transiciones, idempotencia, retries y developer gate.</w:t>
      </w:r>
    </w:p>
    <w:p>
      <w:pPr>
        <w:pStyle w:val="ListBullet"/>
        <w:keepLines/>
      </w:pPr>
      <w:r>
        <w:t>repo-packager corrige UTF-8, .env, globs, .repomixignore, PARTIAL y selección scoped.</w:t>
      </w:r>
    </w:p>
    <w:p>
      <w:pPr>
        <w:pStyle w:val="ListBullet"/>
        <w:keepLines/>
      </w:pPr>
      <w:r>
        <w:t>OpenCode adapter prueba permisos, output validation, model ID y high-risk block.</w:t>
      </w:r>
    </w:p>
    <w:p>
      <w:pPr>
        <w:pStyle w:val="ListBullet"/>
        <w:keepLines/>
      </w:pPr>
      <w:r>
        <w:t>Router/Model Resolver se evalúan con fixtures y quota state.</w:t>
      </w:r>
    </w:p>
    <w:p>
      <w:pPr>
        <w:pStyle w:val="ListBullet"/>
        <w:keepLines/>
      </w:pPr>
      <w:r>
        <w:t>Agent MVP demuestra una task low/medium sin paid API.</w:t>
      </w:r>
    </w:p>
    <w:p>
      <w:pPr>
        <w:pStyle w:val="ListBullet"/>
        <w:keepLines/>
      </w:pPr>
      <w:r>
        <w:t>Retrieval, MCP y Temporal requieren gates propios y feature flag.</w:t>
      </w:r>
    </w:p>
    <w:p>
      <w:pPr>
        <w:pStyle w:val="Heading1"/>
      </w:pPr>
      <w:r>
        <w:t>9. Decisiones aún no congeladas</w:t>
      </w:r>
    </w:p>
    <w:p>
      <w:pPr>
        <w:pStyle w:val="ListBullet"/>
        <w:keepLines/>
      </w:pPr>
      <w:r>
        <w:t>Runtime IDs efectivos y ranking de modelos por rol.</w:t>
      </w:r>
    </w:p>
    <w:p>
      <w:pPr>
        <w:pStyle w:val="ListBullet"/>
        <w:keepLines/>
      </w:pPr>
      <w:r>
        <w:t>Thresholds de Router, budgets y retry limits después de evals.</w:t>
      </w:r>
    </w:p>
    <w:p>
      <w:pPr>
        <w:pStyle w:val="ListBullet"/>
        <w:keepLines/>
      </w:pPr>
      <w:r>
        <w:t>Entorno oficial de FitFlow-ai; scripts/.venv_tools no lo define.</w:t>
      </w:r>
    </w:p>
    <w:p>
      <w:pPr>
        <w:pStyle w:val="ListBullet"/>
        <w:keepLines/>
      </w:pPr>
      <w:r>
        <w:t>Proveedor de observabilidad externo, si el Observer local resulta insuficiente.</w:t>
      </w:r>
    </w:p>
    <w:p>
      <w:pPr>
        <w:pStyle w:val="ListBullet"/>
        <w:keepLines/>
      </w:pPr>
      <w:r>
        <w:t>Embedding, vector store y thresholds de semantic retrieval.</w:t>
      </w:r>
    </w:p>
    <w:p>
      <w:pPr>
        <w:pStyle w:val="ListBullet"/>
        <w:keepLines/>
      </w:pPr>
      <w:r>
        <w:t>Temporal y orchestrator-workers después del MVP.</w:t>
      </w:r>
    </w:p>
    <w:p>
      <w:pPr>
        <w:pStyle w:val="Heading1"/>
      </w:pPr>
      <w:r>
        <w:t>10. Trazabilidad de fuentes</w:t>
      </w:r>
    </w:p>
    <w:p>
      <w:r>
        <w:t>Los informes 01 y 02 explican la evolución temprana; el anexo 02.1 valida el estado operativo y GitHub; los informes 03, 04 y 05 refinan la arquitectura final, el capability mapping y FinOps-as-Code. El estado real del workspace corrige toda afirmación no reproducible.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Fuente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Uso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Baseline v4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Doctrina heredada y trazabilidad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Informes 01/02/02.1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Evolución y validaciones del desarrollador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Informes 03/04/05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Arquitectura, tools/skills y FinOps finales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Workspace FitFlow/FitFlow-ai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Estado implementado y gaps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Docs/ADR vNext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Decisión canónica resultante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F6368"/>
        <w:sz w:val="18"/>
      </w:rPr>
      <w:t xml:space="preserve">Página </w:t>
    </w:r>
    <w:r>
      <w:rPr>
        <w:rFonts w:ascii="Calibri" w:hAnsi="Calibri"/>
        <w:color w:val="5F6368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368"/>
        <w:sz w:val="18"/>
      </w:rPr>
      <w:t>FITFLOW  |  BASELINE VNEXT  |  REGISTRO DE DECISIONES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Baseline de asistencia IA vNext</dc:subject>
  <dc:creator>FitFlow</dc:creator>
  <cp:keywords>FitFlow, vNext, AI Core, desarrolladores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