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before="55" w:lineRule="auto"/>
        <w:ind w:left="116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e487c"/>
          <w:sz w:val="28"/>
          <w:szCs w:val="28"/>
          <w:rtl w:val="0"/>
        </w:rPr>
        <w:t xml:space="preserve">Lógica de Programação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5535930</wp:posOffset>
            </wp:positionH>
            <wp:positionV relativeFrom="paragraph">
              <wp:posOffset>811530</wp:posOffset>
            </wp:positionV>
            <wp:extent cx="857250" cy="999489"/>
            <wp:effectExtent b="0" l="0" r="0" t="0"/>
            <wp:wrapSquare wrapText="bothSides" distB="0" distT="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9994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ind w:left="116" w:right="4129" w:firstLine="0"/>
        <w:rPr>
          <w:rFonts w:ascii="Arial" w:cs="Arial" w:eastAsia="Arial" w:hAnsi="Arial"/>
          <w:b w:val="1"/>
          <w:color w:val="1e487c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e487c"/>
          <w:sz w:val="28"/>
          <w:szCs w:val="28"/>
          <w:rtl w:val="0"/>
        </w:rPr>
        <w:t xml:space="preserve">Lista de atividades de fixação  </w:t>
      </w:r>
    </w:p>
    <w:p w:rsidR="00000000" w:rsidDel="00000000" w:rsidP="00000000" w:rsidRDefault="00000000" w:rsidRPr="00000000" w14:paraId="00000003">
      <w:pPr>
        <w:pageBreakBefore w:val="0"/>
        <w:ind w:left="116" w:right="4129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e487c"/>
          <w:sz w:val="28"/>
          <w:szCs w:val="28"/>
          <w:rtl w:val="0"/>
        </w:rPr>
        <w:t xml:space="preserve">Estruturas de condição: escolha-caso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before="4" w:line="14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Arial" w:cs="Arial" w:eastAsia="Arial" w:hAnsi="Arial"/>
          <w:b w:val="1"/>
          <w:color w:val="31849b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Atividade:</w:t>
      </w:r>
      <w:r w:rsidDel="00000000" w:rsidR="00000000" w:rsidRPr="00000000">
        <w:rPr>
          <w:rFonts w:ascii="Arial" w:cs="Arial" w:eastAsia="Arial" w:hAnsi="Arial"/>
          <w:b w:val="1"/>
          <w:color w:val="ff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31849b"/>
          <w:sz w:val="24"/>
          <w:szCs w:val="24"/>
          <w:rtl w:val="0"/>
        </w:rPr>
        <w:t xml:space="preserve">Desenvolvimento técnico em programação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Arial" w:cs="Arial" w:eastAsia="Arial" w:hAnsi="Arial"/>
          <w:b w:val="1"/>
          <w:color w:val="4bac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Arial" w:cs="Arial" w:eastAsia="Arial" w:hAnsi="Arial"/>
          <w:b w:val="1"/>
          <w:color w:val="31849b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Tema: </w:t>
      </w:r>
      <w:r w:rsidDel="00000000" w:rsidR="00000000" w:rsidRPr="00000000">
        <w:rPr>
          <w:rFonts w:ascii="Arial" w:cs="Arial" w:eastAsia="Arial" w:hAnsi="Arial"/>
          <w:b w:val="1"/>
          <w:color w:val="31849b"/>
          <w:sz w:val="24"/>
          <w:szCs w:val="24"/>
          <w:rtl w:val="0"/>
        </w:rPr>
        <w:t xml:space="preserve">Fundamentos em lógica de programação</w:t>
      </w:r>
    </w:p>
    <w:p w:rsidR="00000000" w:rsidDel="00000000" w:rsidP="00000000" w:rsidRDefault="00000000" w:rsidRPr="00000000" w14:paraId="0000000A">
      <w:pPr>
        <w:pageBreakBefore w:val="0"/>
        <w:rPr>
          <w:rFonts w:ascii="Arial" w:cs="Arial" w:eastAsia="Arial" w:hAnsi="Arial"/>
          <w:b w:val="1"/>
          <w:color w:val="31849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rtl w:val="0"/>
        </w:rPr>
        <w:t xml:space="preserve">Indicadores associados</w:t>
      </w:r>
    </w:p>
    <w:p w:rsidR="00000000" w:rsidDel="00000000" w:rsidP="00000000" w:rsidRDefault="00000000" w:rsidRPr="00000000" w14:paraId="0000000C">
      <w:pPr>
        <w:pageBreakBefore w:val="0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both"/>
        <w:rPr>
          <w:rFonts w:ascii="Arial" w:cs="Arial" w:eastAsia="Arial" w:hAnsi="Arial"/>
          <w:b w:val="1"/>
          <w:color w:val="31849b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1849b"/>
          <w:sz w:val="24"/>
          <w:szCs w:val="24"/>
          <w:rtl w:val="0"/>
        </w:rPr>
        <w:t xml:space="preserve">3 - Codifica programas computacionais utilizando lógica de programação e respeitando boas práticas de programação.</w:t>
      </w:r>
    </w:p>
    <w:p w:rsidR="00000000" w:rsidDel="00000000" w:rsidP="00000000" w:rsidRDefault="00000000" w:rsidRPr="00000000" w14:paraId="0000000E">
      <w:pPr>
        <w:pageBreakBefore w:val="0"/>
        <w:jc w:val="both"/>
        <w:rPr>
          <w:rFonts w:ascii="Arial" w:cs="Arial" w:eastAsia="Arial" w:hAnsi="Arial"/>
          <w:b w:val="1"/>
          <w:color w:val="31849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both"/>
        <w:rPr>
          <w:rFonts w:ascii="Arial" w:cs="Arial" w:eastAsia="Arial" w:hAnsi="Arial"/>
          <w:b w:val="1"/>
          <w:color w:val="31849b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1849b"/>
          <w:sz w:val="24"/>
          <w:szCs w:val="24"/>
          <w:rtl w:val="0"/>
        </w:rPr>
        <w:t xml:space="preserve">5 - Desenvolver capacidades linguísticas de modo a saber usar adequadamente a linguagem oral e escrita em diferentes situações e contextos.</w:t>
      </w:r>
    </w:p>
    <w:p w:rsidR="00000000" w:rsidDel="00000000" w:rsidP="00000000" w:rsidRDefault="00000000" w:rsidRPr="00000000" w14:paraId="00000010">
      <w:pPr>
        <w:pageBreakBefore w:val="0"/>
        <w:jc w:val="both"/>
        <w:rPr>
          <w:rFonts w:ascii="Arial" w:cs="Arial" w:eastAsia="Arial" w:hAnsi="Arial"/>
          <w:b w:val="1"/>
          <w:color w:val="31849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both"/>
        <w:rPr>
          <w:rFonts w:ascii="Arial" w:cs="Arial" w:eastAsia="Arial" w:hAnsi="Arial"/>
          <w:b w:val="1"/>
          <w:color w:val="31849b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1849b"/>
          <w:sz w:val="24"/>
          <w:szCs w:val="24"/>
          <w:rtl w:val="0"/>
        </w:rPr>
        <w:t xml:space="preserve">6 - Conhecer o caráter do conhecimento científico aplicando a metodologia científica e utilizando redação acadêmica na realização da pesquisa, na escolha de métodos, técnicas e instrumentos de pesquisa.</w:t>
      </w:r>
    </w:p>
    <w:p w:rsidR="00000000" w:rsidDel="00000000" w:rsidP="00000000" w:rsidRDefault="00000000" w:rsidRPr="00000000" w14:paraId="00000012">
      <w:pPr>
        <w:pageBreakBefore w:val="0"/>
        <w:jc w:val="both"/>
        <w:rPr>
          <w:rFonts w:ascii="Arial" w:cs="Arial" w:eastAsia="Arial" w:hAnsi="Arial"/>
          <w:b w:val="1"/>
          <w:color w:val="31849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both"/>
        <w:rPr>
          <w:rFonts w:ascii="Arial" w:cs="Arial" w:eastAsia="Arial" w:hAnsi="Arial"/>
          <w:b w:val="1"/>
          <w:color w:val="31849b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31849b"/>
          <w:sz w:val="24"/>
          <w:szCs w:val="24"/>
          <w:rtl w:val="0"/>
        </w:rPr>
        <w:t xml:space="preserve">8 - Utilizar estruturas de dados definindo-as e aplicando-as adequadamente nos programas.</w:t>
      </w:r>
    </w:p>
    <w:p w:rsidR="00000000" w:rsidDel="00000000" w:rsidP="00000000" w:rsidRDefault="00000000" w:rsidRPr="00000000" w14:paraId="00000014">
      <w:pPr>
        <w:pageBreakBefore w:val="0"/>
        <w:spacing w:before="2" w:lin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before="2" w:lin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before="2" w:line="200" w:lineRule="auto"/>
        <w:jc w:val="center"/>
        <w:rPr>
          <w:rFonts w:ascii="Nunito" w:cs="Nunito" w:eastAsia="Nunito" w:hAnsi="Nunito"/>
          <w:color w:val="ff0000"/>
          <w:sz w:val="28"/>
          <w:szCs w:val="28"/>
          <w:highlight w:val="yellow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ff0000"/>
          <w:sz w:val="28"/>
          <w:szCs w:val="28"/>
          <w:highlight w:val="yellow"/>
          <w:u w:val="single"/>
          <w:rtl w:val="0"/>
        </w:rPr>
        <w:t xml:space="preserve">ATENÇÃO: </w:t>
      </w:r>
      <w:r w:rsidDel="00000000" w:rsidR="00000000" w:rsidRPr="00000000">
        <w:rPr>
          <w:rFonts w:ascii="Nunito" w:cs="Nunito" w:eastAsia="Nunito" w:hAnsi="Nunito"/>
          <w:color w:val="ff0000"/>
          <w:sz w:val="28"/>
          <w:szCs w:val="28"/>
          <w:highlight w:val="yellow"/>
          <w:u w:val="single"/>
          <w:rtl w:val="0"/>
        </w:rPr>
        <w:t xml:space="preserve">ESTA LISTA DEVE SER FEITA APENAS COM A SOLICITAÇÃO DE UM ORIENTADOR</w:t>
      </w:r>
    </w:p>
    <w:p w:rsidR="00000000" w:rsidDel="00000000" w:rsidP="00000000" w:rsidRDefault="00000000" w:rsidRPr="00000000" w14:paraId="00000017">
      <w:pPr>
        <w:pageBreakBefore w:val="0"/>
        <w:spacing w:before="2" w:line="200" w:lineRule="auto"/>
        <w:jc w:val="center"/>
        <w:rPr>
          <w:rFonts w:ascii="Nunito" w:cs="Nunito" w:eastAsia="Nunito" w:hAnsi="Nunito"/>
          <w:b w:val="1"/>
          <w:color w:val="1e487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before="2" w:line="200" w:lineRule="auto"/>
        <w:jc w:val="center"/>
        <w:rPr>
          <w:rFonts w:ascii="Nunito" w:cs="Nunito" w:eastAsia="Nunito" w:hAnsi="Nunito"/>
          <w:b w:val="1"/>
          <w:color w:val="1e487c"/>
          <w:sz w:val="24"/>
          <w:szCs w:val="24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1e487c"/>
          <w:sz w:val="24"/>
          <w:szCs w:val="24"/>
          <w:u w:val="single"/>
          <w:rtl w:val="0"/>
        </w:rPr>
        <w:t xml:space="preserve">OBJETOS DE SOLUÇÃO</w:t>
      </w:r>
    </w:p>
    <w:p w:rsidR="00000000" w:rsidDel="00000000" w:rsidP="00000000" w:rsidRDefault="00000000" w:rsidRPr="00000000" w14:paraId="00000019">
      <w:pPr>
        <w:pageBreakBefore w:val="0"/>
        <w:spacing w:line="200" w:lineRule="auto"/>
        <w:rPr>
          <w:rFonts w:ascii="Nunito" w:cs="Nunito" w:eastAsia="Nunito" w:hAnsi="Nunito"/>
          <w:color w:val="1e487c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right="120" w:hanging="360"/>
        <w:jc w:val="both"/>
        <w:rPr>
          <w:rFonts w:ascii="Nunito" w:cs="Nunito" w:eastAsia="Nunito" w:hAnsi="Nunito"/>
          <w:color w:val="1e487c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1e487c"/>
          <w:sz w:val="24"/>
          <w:szCs w:val="24"/>
          <w:rtl w:val="0"/>
        </w:rPr>
        <w:t xml:space="preserve">Professor </w:t>
      </w:r>
      <w:r w:rsidDel="00000000" w:rsidR="00000000" w:rsidRPr="00000000">
        <w:rPr>
          <w:rFonts w:ascii="Nunito" w:cs="Nunito" w:eastAsia="Nunito" w:hAnsi="Nunito"/>
          <w:b w:val="1"/>
          <w:color w:val="1e487c"/>
          <w:sz w:val="24"/>
          <w:szCs w:val="24"/>
          <w:rtl w:val="0"/>
        </w:rPr>
        <w:t xml:space="preserve">“Ludovico Volpato”</w:t>
      </w:r>
      <w:r w:rsidDel="00000000" w:rsidR="00000000" w:rsidRPr="00000000">
        <w:rPr>
          <w:rFonts w:ascii="Nunito" w:cs="Nunito" w:eastAsia="Nunito" w:hAnsi="Nunito"/>
          <w:color w:val="1e487c"/>
          <w:sz w:val="24"/>
          <w:szCs w:val="24"/>
          <w:rtl w:val="0"/>
        </w:rPr>
        <w:t xml:space="preserve">, físico renomado,</w:t>
      </w:r>
      <w:r w:rsidDel="00000000" w:rsidR="00000000" w:rsidRPr="00000000">
        <w:rPr>
          <w:rFonts w:ascii="Nunito" w:cs="Nunito" w:eastAsia="Nunito" w:hAnsi="Nunito"/>
          <w:b w:val="1"/>
          <w:color w:val="1e487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1e487c"/>
          <w:sz w:val="24"/>
          <w:szCs w:val="24"/>
          <w:rtl w:val="0"/>
        </w:rPr>
        <w:t xml:space="preserve">necessita trabalhar cálculo de área de elementos diferentes e nos solicita uma solução que faça com que o usuário escolha uma das opções de cálculo de área de acordo com as opções a seguir. O programa deve solicitar os valores necessários para o cálculo escolhido, e fornecer o respectivo resultado, exibindo-o em um formato próximo à própria fórmula usada. As opções do programa, e seus respectivos cálculos, devem ser: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1"/>
        </w:numPr>
        <w:ind w:left="1440" w:right="-51.259842519683616" w:hanging="360"/>
        <w:jc w:val="both"/>
        <w:rPr>
          <w:rFonts w:ascii="Nunito" w:cs="Nunito" w:eastAsia="Nunito" w:hAnsi="Nunito"/>
          <w:color w:val="1e487c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1e487c"/>
          <w:sz w:val="24"/>
          <w:szCs w:val="24"/>
          <w:rtl w:val="0"/>
        </w:rPr>
        <w:t xml:space="preserve">Área do Retângulo  = base * altura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1"/>
        </w:numPr>
        <w:ind w:left="1440" w:right="-51.259842519683616" w:hanging="360"/>
        <w:jc w:val="both"/>
        <w:rPr>
          <w:rFonts w:ascii="Nunito" w:cs="Nunito" w:eastAsia="Nunito" w:hAnsi="Nunito"/>
          <w:color w:val="1e487c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1e487c"/>
          <w:sz w:val="24"/>
          <w:szCs w:val="24"/>
          <w:rtl w:val="0"/>
        </w:rPr>
        <w:t xml:space="preserve">Área do Triângulo = base * altura/2 </w:t>
      </w:r>
    </w:p>
    <w:p w:rsidR="00000000" w:rsidDel="00000000" w:rsidP="00000000" w:rsidRDefault="00000000" w:rsidRPr="00000000" w14:paraId="0000001D">
      <w:pPr>
        <w:pageBreakBefore w:val="0"/>
        <w:numPr>
          <w:ilvl w:val="1"/>
          <w:numId w:val="1"/>
        </w:numPr>
        <w:ind w:left="1440" w:right="-51.259842519683616" w:hanging="360"/>
        <w:jc w:val="both"/>
        <w:rPr>
          <w:rFonts w:ascii="Nunito" w:cs="Nunito" w:eastAsia="Nunito" w:hAnsi="Nunito"/>
          <w:color w:val="1e487c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1e487c"/>
          <w:sz w:val="24"/>
          <w:szCs w:val="24"/>
          <w:rtl w:val="0"/>
        </w:rPr>
        <w:t xml:space="preserve">Área do Círculo  = 2*pi*raio*raio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1"/>
        </w:numPr>
        <w:ind w:left="1440" w:right="-51.259842519683616" w:hanging="360"/>
        <w:jc w:val="both"/>
        <w:rPr>
          <w:rFonts w:ascii="Nunito" w:cs="Nunito" w:eastAsia="Nunito" w:hAnsi="Nunito"/>
          <w:color w:val="1e487c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1e487c"/>
          <w:sz w:val="24"/>
          <w:szCs w:val="24"/>
          <w:rtl w:val="0"/>
        </w:rPr>
        <w:t xml:space="preserve">Área do Quadrado = lado * lado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"/>
        </w:numPr>
        <w:ind w:left="1440" w:right="120" w:hanging="360"/>
        <w:jc w:val="both"/>
        <w:rPr>
          <w:rFonts w:ascii="Nunito" w:cs="Nunito" w:eastAsia="Nunito" w:hAnsi="Nunito"/>
          <w:color w:val="1e487c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1e487c"/>
          <w:sz w:val="24"/>
          <w:szCs w:val="24"/>
          <w:rtl w:val="0"/>
        </w:rPr>
        <w:t xml:space="preserve">Área do Trapézio = (ladomaior+ladomenor) * altura/2</w:t>
      </w:r>
    </w:p>
    <w:p w:rsidR="00000000" w:rsidDel="00000000" w:rsidP="00000000" w:rsidRDefault="00000000" w:rsidRPr="00000000" w14:paraId="00000020">
      <w:pPr>
        <w:pageBreakBefore w:val="0"/>
        <w:ind w:left="1440" w:right="120" w:firstLine="0"/>
        <w:jc w:val="both"/>
        <w:rPr>
          <w:rFonts w:ascii="Nunito" w:cs="Nunito" w:eastAsia="Nunito" w:hAnsi="Nunito"/>
          <w:color w:val="1e48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720" w:right="120" w:hanging="360"/>
        <w:jc w:val="both"/>
        <w:rPr>
          <w:rFonts w:ascii="Nunito" w:cs="Nunito" w:eastAsia="Nunito" w:hAnsi="Nunito"/>
          <w:color w:val="1e487c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1e487c"/>
          <w:sz w:val="24"/>
          <w:szCs w:val="24"/>
          <w:rtl w:val="0"/>
        </w:rPr>
        <w:t xml:space="preserve">Desenvolva um algoritmo que solicite ao usuário um mês pelo seu número e informe quantos dias ele tem (caso o mês seja Fevereiro, informe “Este mês tem 28 dias em anos comuns e 29 em anos bissextos.”).</w:t>
      </w:r>
    </w:p>
    <w:p w:rsidR="00000000" w:rsidDel="00000000" w:rsidP="00000000" w:rsidRDefault="00000000" w:rsidRPr="00000000" w14:paraId="00000022">
      <w:pPr>
        <w:pageBreakBefore w:val="0"/>
        <w:ind w:right="120"/>
        <w:jc w:val="both"/>
        <w:rPr>
          <w:rFonts w:ascii="Nunito" w:cs="Nunito" w:eastAsia="Nunito" w:hAnsi="Nunito"/>
          <w:color w:val="1e487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ind w:left="720" w:right="120" w:hanging="360"/>
        <w:jc w:val="both"/>
        <w:rPr>
          <w:rFonts w:ascii="Nunito" w:cs="Nunito" w:eastAsia="Nunito" w:hAnsi="Nunito"/>
          <w:color w:val="1e487c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color w:val="1e487c"/>
          <w:sz w:val="24"/>
          <w:szCs w:val="24"/>
          <w:rtl w:val="0"/>
        </w:rPr>
        <w:t xml:space="preserve">Um fã de esportes nos solicitou um programa que informe como são organizadas as divisões da NFL, liga de futebol americano dos EUA. Para isso, ele pede que o usuário informe a conferência que se deseja ver (AFC ou NFC), e depois informe qual divisão dessa conferência ele deseja ver (as 4 divisões, de nomes iguais em ambas conferências, são East, North, South e West). Com essas duas informações, o programa deve exibir os 4 times pertencentes a essa divisão. A imagem a seguir mostra as 8 divisões (à esquerda as 4 da AFC e à direita as 4 da NFC) e quais são os 4 times que pertencem a cada uma delas. Você pode informar apenas os nomes em negrito, já é suficiente de acordo com nosso solicitante.</w:t>
      </w:r>
    </w:p>
    <w:p w:rsidR="00000000" w:rsidDel="00000000" w:rsidP="00000000" w:rsidRDefault="00000000" w:rsidRPr="00000000" w14:paraId="00000024">
      <w:pPr>
        <w:pageBreakBefore w:val="0"/>
        <w:ind w:right="120"/>
        <w:jc w:val="center"/>
        <w:rPr>
          <w:rFonts w:ascii="Nunito" w:cs="Nunito" w:eastAsia="Nunito" w:hAnsi="Nunito"/>
          <w:color w:val="1e487c"/>
          <w:sz w:val="24"/>
          <w:szCs w:val="24"/>
        </w:rPr>
      </w:pP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5129213" cy="3433964"/>
              <wp:effectExtent b="0" l="0" r="0" t="0"/>
              <wp:docPr id="2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29213" cy="343396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before="2" w:line="200" w:lineRule="auto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ageBreakBefore w:val="0"/>
        <w:tabs>
          <w:tab w:val="left" w:leader="none" w:pos="567"/>
        </w:tabs>
        <w:rPr>
          <w:rFonts w:ascii="Arial" w:cs="Arial" w:eastAsia="Arial" w:hAnsi="Arial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6840" w:w="11900" w:orient="portrait"/>
      <w:pgMar w:bottom="280" w:top="1080" w:left="102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Georgia"/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60" w:before="240" w:lineRule="auto"/>
      <w:ind w:left="720" w:hanging="720"/>
    </w:pPr>
    <w:rPr>
      <w:rFonts w:ascii="Cambria" w:cs="Cambria" w:eastAsia="Cambria" w:hAnsi="Cambria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60" w:before="240" w:lineRule="auto"/>
      <w:ind w:left="1440" w:hanging="720"/>
    </w:pPr>
    <w:rPr>
      <w:rFonts w:ascii="Cambria" w:cs="Cambria" w:eastAsia="Cambria" w:hAnsi="Cambria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60" w:before="240" w:lineRule="auto"/>
      <w:ind w:left="2160" w:hanging="720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60" w:before="240" w:lineRule="auto"/>
      <w:ind w:left="2880" w:hanging="720"/>
    </w:pPr>
    <w:rPr>
      <w:rFonts w:ascii="Calibri" w:cs="Calibri" w:eastAsia="Calibri" w:hAnsi="Calibri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60" w:before="240" w:lineRule="auto"/>
      <w:ind w:left="3600" w:hanging="720"/>
    </w:pPr>
    <w:rPr>
      <w:rFonts w:ascii="Calibri" w:cs="Calibri" w:eastAsia="Calibri" w:hAnsi="Calibri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60" w:before="240" w:lineRule="auto"/>
      <w:ind w:left="4320" w:hanging="720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theempowermag.com/sports/super-bowl-50-any-one/attachment/nfl-divisions-www-seagawk-com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