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Fiscal Constraint Variable Construction Guide</w:t>
      </w:r>
    </w:p>
    <w:p>
      <w:pPr>
        <w:spacing w:after="120"/>
        <w:jc w:val="center"/>
      </w:pPr>
      <w:r>
        <w:rPr>
          <w:rFonts w:ascii="Arial" w:cs="Arial" w:eastAsia="Arial" w:hAnsi="Arial"/>
          <w:color w:val="555555"/>
          <w:sz w:val="24"/>
          <w:szCs w:val="24"/>
        </w:rPr>
        <w:t xml:space="preserve">Mapping Rating-Agency Evaluation Pillars to Census of Governments Data</w:t>
      </w:r>
    </w:p>
    <w:p>
      <w:pPr>
        <w:spacing w:after="80"/>
        <w:jc w:val="center"/>
      </w:pPr>
      <w:r>
        <w:rPr>
          <w:rFonts w:ascii="Arial" w:cs="Arial" w:eastAsia="Arial" w:hAnsi="Arial"/>
          <w:i/>
          <w:iCs/>
          <w:color w:val="555555"/>
          <w:sz w:val="22"/>
          <w:szCs w:val="22"/>
        </w:rPr>
        <w:t xml:space="preserve">For: Municipal Green Bond Issuance Analysis (2013–2023)</w:t>
      </w:r>
    </w:p>
    <w:p>
      <w:pPr>
        <w:spacing w:before="600" w:after="200"/>
        <w:jc w:val="center"/>
      </w:pPr>
      <w:r>
        <w:rPr>
          <w:rFonts w:ascii="Arial" w:cs="Arial" w:eastAsia="Arial" w:hAnsi="Arial"/>
          <w:sz w:val="24"/>
          <w:szCs w:val="24"/>
        </w:rPr>
        <w:t xml:space="preserve">Maurice Hirt</w:t>
      </w:r>
    </w:p>
    <w:p>
      <w:pPr>
        <w:spacing w:after="80"/>
        <w:jc w:val="center"/>
      </w:pPr>
      <w:r>
        <w:rPr>
          <w:rFonts w:ascii="Arial" w:cs="Arial" w:eastAsia="Arial" w:hAnsi="Arial"/>
          <w:color w:val="666666"/>
          <w:sz w:val="20"/>
          <w:szCs w:val="20"/>
        </w:rPr>
        <w:t xml:space="preserve">University of Oxford</w:t>
      </w:r>
    </w:p>
    <w:p>
      <w:pPr>
        <w:spacing w:before="400"/>
        <w:jc w:val="center"/>
      </w:pPr>
      <w:r>
        <w:rPr>
          <w:rFonts w:ascii="Arial" w:cs="Arial" w:eastAsia="Arial" w:hAnsi="Arial"/>
          <w:color w:val="666666"/>
          <w:sz w:val="20"/>
          <w:szCs w:val="20"/>
        </w:rPr>
        <w:t xml:space="preserve">February 2026</w:t>
      </w:r>
    </w:p>
    <w:p>
      <w:r>
        <w:br w:type="page"/>
      </w:r>
    </w:p>
    <w:p>
      <w:pPr>
        <w:pStyle w:val="Heading1"/>
        <w:spacing w:before="360" w:after="200"/>
      </w:pPr>
      <w:r>
        <w:rPr>
          <w:rFonts w:ascii="Arial" w:cs="Arial" w:eastAsia="Arial" w:hAnsi="Arial"/>
          <w:b/>
          <w:bCs/>
          <w:sz w:val="28"/>
          <w:szCs w:val="28"/>
        </w:rPr>
        <w:t xml:space="preserve">1. Overview</w:t>
      </w:r>
    </w:p>
    <w:p>
      <w:pPr>
        <w:spacing w:before="60" w:after="100" w:line="300"/>
      </w:pPr>
      <w:r>
        <w:rPr>
          <w:rFonts w:ascii="Arial" w:cs="Arial" w:eastAsia="Arial" w:hAnsi="Arial"/>
          <w:sz w:val="20"/>
          <w:szCs w:val="20"/>
        </w:rPr>
        <w:t xml:space="preserve">This document provides a complete reference for constructing fiscal constraint variables from the existing 920-variable dataset (Census of Governments / ASLGF panel, 2013–2023). Each variable is mapped to one of the six evaluation pillars used by credit rating agencies (Moody’s, S&amp;P, Fitch) and municipal bond asset managers:</w:t>
      </w:r>
    </w:p>
    <w:p>
      <w:pPr>
        <w:spacing w:before="60" w:after="100" w:line="300"/>
      </w:pPr>
      <w:r>
        <w:rPr>
          <w:rFonts w:ascii="Arial" w:cs="Arial" w:eastAsia="Arial" w:hAnsi="Arial"/>
          <w:b/>
          <w:bCs/>
          <w:sz w:val="20"/>
          <w:szCs w:val="20"/>
        </w:rPr>
        <w:t xml:space="preserve">A. Budgetary Flexibility</w:t>
      </w:r>
      <w:r>
        <w:rPr>
          <w:rFonts w:ascii="Arial" w:cs="Arial" w:eastAsia="Arial" w:hAnsi="Arial"/>
          <w:sz w:val="20"/>
          <w:szCs w:val="20"/>
        </w:rPr>
        <w:t xml:space="preserve"> — ability to raise revenues or cut spending</w:t>
      </w:r>
    </w:p>
    <w:p>
      <w:pPr>
        <w:spacing w:before="60" w:after="100" w:line="300"/>
      </w:pPr>
      <w:r>
        <w:rPr>
          <w:rFonts w:ascii="Arial" w:cs="Arial" w:eastAsia="Arial" w:hAnsi="Arial"/>
          <w:b/>
          <w:bCs/>
          <w:sz w:val="20"/>
          <w:szCs w:val="20"/>
        </w:rPr>
        <w:t xml:space="preserve">B. Liquidity &amp; Reserves</w:t>
      </w:r>
      <w:r>
        <w:rPr>
          <w:rFonts w:ascii="Arial" w:cs="Arial" w:eastAsia="Arial" w:hAnsi="Arial"/>
          <w:sz w:val="20"/>
          <w:szCs w:val="20"/>
        </w:rPr>
        <w:t xml:space="preserve"> — unrestricted fund balance, days cash, reserve adequacy</w:t>
      </w:r>
    </w:p>
    <w:p>
      <w:pPr>
        <w:spacing w:before="60" w:after="100" w:line="300"/>
      </w:pPr>
      <w:r>
        <w:rPr>
          <w:rFonts w:ascii="Arial" w:cs="Arial" w:eastAsia="Arial" w:hAnsi="Arial"/>
          <w:b/>
          <w:bCs/>
          <w:sz w:val="20"/>
          <w:szCs w:val="20"/>
        </w:rPr>
        <w:t xml:space="preserve">C. Revenue Framework</w:t>
      </w:r>
      <w:r>
        <w:rPr>
          <w:rFonts w:ascii="Arial" w:cs="Arial" w:eastAsia="Arial" w:hAnsi="Arial"/>
          <w:sz w:val="20"/>
          <w:szCs w:val="20"/>
        </w:rPr>
        <w:t xml:space="preserve"> — tax mix, revenue concentration/volatility, own-source share</w:t>
      </w:r>
    </w:p>
    <w:p>
      <w:pPr>
        <w:spacing w:before="60" w:after="100" w:line="300"/>
      </w:pPr>
      <w:r>
        <w:rPr>
          <w:rFonts w:ascii="Arial" w:cs="Arial" w:eastAsia="Arial" w:hAnsi="Arial"/>
          <w:b/>
          <w:bCs/>
          <w:sz w:val="20"/>
          <w:szCs w:val="20"/>
        </w:rPr>
        <w:t xml:space="preserve">D. Intergovernmental Aid Dependence</w:t>
      </w:r>
      <w:r>
        <w:rPr>
          <w:rFonts w:ascii="Arial" w:cs="Arial" w:eastAsia="Arial" w:hAnsi="Arial"/>
          <w:sz w:val="20"/>
          <w:szCs w:val="20"/>
        </w:rPr>
        <w:t xml:space="preserve"> — share and volatility of state/federal transfers</w:t>
      </w:r>
    </w:p>
    <w:p>
      <w:pPr>
        <w:spacing w:before="60" w:after="100" w:line="300"/>
      </w:pPr>
      <w:r>
        <w:rPr>
          <w:rFonts w:ascii="Arial" w:cs="Arial" w:eastAsia="Arial" w:hAnsi="Arial"/>
          <w:b/>
          <w:bCs/>
          <w:sz w:val="20"/>
          <w:szCs w:val="20"/>
        </w:rPr>
        <w:t xml:space="preserve">E. Long-Term Liabilities</w:t>
      </w:r>
      <w:r>
        <w:rPr>
          <w:rFonts w:ascii="Arial" w:cs="Arial" w:eastAsia="Arial" w:hAnsi="Arial"/>
          <w:sz w:val="20"/>
          <w:szCs w:val="20"/>
        </w:rPr>
        <w:t xml:space="preserve"> — debt service burden, pension obligations, net borrowing</w:t>
      </w:r>
    </w:p>
    <w:p>
      <w:pPr>
        <w:spacing w:before="60" w:after="100" w:line="300"/>
      </w:pPr>
      <w:r>
        <w:rPr>
          <w:rFonts w:ascii="Arial" w:cs="Arial" w:eastAsia="Arial" w:hAnsi="Arial"/>
          <w:b/>
          <w:bCs/>
          <w:sz w:val="20"/>
          <w:szCs w:val="20"/>
        </w:rPr>
        <w:t xml:space="preserve">F. Legal/Institutional Constraints</w:t>
      </w:r>
      <w:r>
        <w:rPr>
          <w:rFonts w:ascii="Arial" w:cs="Arial" w:eastAsia="Arial" w:hAnsi="Arial"/>
          <w:sz w:val="20"/>
          <w:szCs w:val="20"/>
        </w:rPr>
        <w:t xml:space="preserve"> — TELs, cap intensity, voter-approval requirements</w:t>
      </w:r>
    </w:p>
    <w:p>
      <w:pPr>
        <w:spacing w:before="60" w:after="100" w:line="300"/>
      </w:pPr>
      <w:r>
        <w:rPr>
          <w:rFonts w:ascii="Arial" w:cs="Arial" w:eastAsia="Arial" w:hAnsi="Arial"/>
          <w:b/>
          <w:bCs/>
          <w:sz w:val="20"/>
          <w:szCs w:val="20"/>
        </w:rPr>
        <w:t xml:space="preserve">G. Market/Security Structure</w:t>
      </w:r>
      <w:r>
        <w:rPr>
          <w:rFonts w:ascii="Arial" w:cs="Arial" w:eastAsia="Arial" w:hAnsi="Arial"/>
          <w:sz w:val="20"/>
          <w:szCs w:val="20"/>
        </w:rPr>
        <w:t xml:space="preserve"> — GO vs revenue bond mix</w:t>
      </w:r>
    </w:p>
    <w:p>
      <w:pPr>
        <w:spacing w:before="60" w:after="100" w:line="300"/>
      </w:pPr>
      <w:r>
        <w:rPr>
          <w:rFonts w:ascii="Arial" w:cs="Arial" w:eastAsia="Arial" w:hAnsi="Arial"/>
          <w:b/>
          <w:bCs/>
          <w:sz w:val="20"/>
          <w:szCs w:val="20"/>
        </w:rPr>
        <w:t xml:space="preserve">H. Composite Indices</w:t>
      </w:r>
    </w:p>
    <w:p>
      <w:pPr>
        <w:spacing w:after="80"/>
      </w:pPr>
      <w:r>
        <w:rPr>
          <w:rFonts w:ascii="Arial" w:cs="Arial" w:eastAsia="Arial" w:hAnsi="Arial"/>
          <w:b/>
          <w:bCs/>
          <w:sz w:val="22"/>
          <w:szCs w:val="22"/>
        </w:rPr>
        <w:t xml:space="preserve">I. Fiscal Federalism / Decentralisation</w:t>
      </w:r>
      <w:r>
        <w:rPr>
          <w:rFonts w:ascii="Arial" w:cs="Arial" w:eastAsia="Arial" w:hAnsi="Arial"/>
          <w:sz w:val="22"/>
          <w:szCs w:val="22"/>
        </w:rPr>
        <w:t xml:space="preserve"> — revenue autonomy, tax structure, vertical fiscal imbalance, grant composition</w:t>
      </w:r>
    </w:p>
    <w:p>
      <w:pPr>
        <w:spacing w:after="80"/>
      </w:pPr>
      <w:r>
        <w:rPr>
          <w:rFonts w:ascii="Arial" w:cs="Arial" w:eastAsia="Arial" w:hAnsi="Arial"/>
          <w:b/>
          <w:bCs/>
          <w:sz w:val="22"/>
          <w:szCs w:val="22"/>
        </w:rPr>
        <w:t xml:space="preserve">J. Standard Fiscal Controls</w:t>
      </w:r>
      <w:r>
        <w:rPr>
          <w:rFonts w:ascii="Arial" w:cs="Arial" w:eastAsia="Arial" w:hAnsi="Arial"/>
          <w:sz w:val="22"/>
          <w:szCs w:val="22"/>
        </w:rPr>
        <w:t xml:space="preserve"> — revenue levels, expenditure levels, debt stock/flow, liquidity, employment</w:t>
      </w:r>
    </w:p>
    <w:p>
      <w:pPr>
        <w:spacing w:after="80"/>
      </w:pPr>
      <w:r>
        <w:rPr>
          <w:rFonts w:ascii="Arial" w:cs="Arial" w:eastAsia="Arial" w:hAnsi="Arial"/>
          <w:sz w:val="20"/>
          <w:szCs w:val="20"/>
        </w:rPr>
        <w:t xml:space="preserve">H. Composite Indices — standardised and PCA-based stress indices, interaction-ready variables</w:t>
      </w:r>
    </w:p>
    <w:p>
      <w:pPr>
        <w:spacing w:before="60" w:after="100" w:line="300"/>
      </w:pPr>
      <w:r>
        <w:rPr>
          <w:rFonts w:ascii="Arial" w:cs="Arial" w:eastAsia="Arial" w:hAnsi="Arial"/>
          <w:sz w:val="20"/>
          <w:szCs w:val="20"/>
        </w:rPr>
        <w:t xml:space="preserve">The document concludes with a summary of measures that cannot be constructed from the current dataset and the external data sources required, followed by recommended model specifications.</w:t>
      </w:r>
    </w:p>
    <w:p>
      <w:r>
        <w:br w:type="page"/>
      </w:r>
    </w:p>
    <w:p>
      <w:pPr>
        <w:pStyle w:val="Heading1"/>
        <w:spacing w:before="360" w:after="200"/>
      </w:pPr>
      <w:r>
        <w:rPr>
          <w:rFonts w:ascii="Arial" w:cs="Arial" w:eastAsia="Arial" w:hAnsi="Arial"/>
          <w:b/>
          <w:bCs/>
          <w:sz w:val="28"/>
          <w:szCs w:val="28"/>
        </w:rPr>
        <w:t xml:space="preserve">2. Pillar A: Budgetary Flexibility</w:t>
      </w:r>
    </w:p>
    <w:p>
      <w:pPr>
        <w:spacing w:before="60" w:after="100" w:line="300"/>
      </w:pPr>
      <w:r>
        <w:rPr>
          <w:rFonts w:ascii="Arial" w:cs="Arial" w:eastAsia="Arial" w:hAnsi="Arial"/>
          <w:sz w:val="20"/>
          <w:szCs w:val="20"/>
        </w:rPr>
        <w:t xml:space="preserve">Rating agencies assess the demonstrated and legal ability to raise revenues or cut spending. Asset managers monitor political limits to revenue increases and trends in tax effort and discretionary spending. The following variables capture both the revenue side (tax effort, tax reliance) and the expenditure side (mandatory spending rigidity) of budgetary flexibility.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 Effort (real per-capita)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 total_taxes × deflator_factor / 100 ) / pop_unified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 high effort → constrained further tax capacity</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Tax Effort (3yr smoothed)</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3-year rolling mean of A1 within entity</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A1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Reduces annual noise; matches operationalization table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Tax-to-Revenue Ratio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total_taxes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Retain for comparison with existing paper</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Expenditure Rigidity</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 interest_on_gen_debt + emp_ret_total_expend + public_welf_total_exp ) / direct_expenditure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#195, #93, #389, #62</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Expenditure side of flexibility; high = less room to cut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Budget Flexibility Squeeze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tax_to_rev × expenditure_rigidity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A3 × A4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Joint constraint on both revenue and expenditure sides</w:t>
            </w:r>
          </w:p>
        </w:tc>
      </w:tr>
    </w:tbl>
    <w:p>
      <w:pPr>
        <w:spacing w:before="40" w:after="80" w:line="280"/>
      </w:pPr>
      <w:r>
        <w:rPr>
          <w:rFonts w:ascii="Arial" w:cs="Arial" w:eastAsia="Arial" w:hAnsi="Arial"/>
          <w:i/>
          <w:iCs/>
          <w:color w:val="555555"/>
          <w:sz w:val="18"/>
          <w:szCs w:val="18"/>
        </w:rPr>
        <w:t xml:space="preserve">Rating-agency linkage: Budgetary flexibility scorecards evaluate both the ability to generate additional revenue and the capacity to reduce expenditures. A1–A2 capture the revenue ceiling; A4 captures expenditure floor; A5 captures the combined squeeze.</w:t>
      </w:r>
    </w:p>
    <w:p>
      <w:r>
        <w:br w:type="page"/>
      </w:r>
    </w:p>
    <w:p>
      <w:pPr>
        <w:pStyle w:val="Heading1"/>
        <w:spacing w:before="360" w:after="200"/>
      </w:pPr>
      <w:r>
        <w:rPr>
          <w:rFonts w:ascii="Arial" w:cs="Arial" w:eastAsia="Arial" w:hAnsi="Arial"/>
          <w:b/>
          <w:bCs/>
          <w:sz w:val="28"/>
          <w:szCs w:val="28"/>
        </w:rPr>
        <w:t xml:space="preserve">3. Pillar B: Liquidity &amp; Reserves</w:t>
      </w:r>
    </w:p>
    <w:p>
      <w:pPr>
        <w:spacing w:before="60" w:after="100" w:line="300"/>
      </w:pPr>
      <w:r>
        <w:rPr>
          <w:rFonts w:ascii="Arial" w:cs="Arial" w:eastAsia="Arial" w:hAnsi="Arial"/>
          <w:sz w:val="20"/>
          <w:szCs w:val="20"/>
        </w:rPr>
        <w:t xml:space="preserve">Rating agencies evaluate near-term shock-absorption capacity and operating liquidity, which directly influence short-term rating sensitivity. Asset managers emphasise cash liquidity for trading and short-term default risk assessment. GFOA recommends a minimum of two months’ reserves (~16.7% of expenditures).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Reserve Ratio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max( total_cash_&amp;_securities − insur_trust_cash_&amp;_sec, 0 ) / direct_expenditure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#439, #193, #62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Primary liquidity proxy; maps to unrestricted fund balance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Reserve Months</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reserve_ratio × 12</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B1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Intuitive interpretation; GFOA minimum = 2 months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Low Reserves (binary)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1 if reserve_months &lt; 2</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B2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Binary indicator for municipalities below GFOA minimum</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Days Cash on Hand</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unrestricted_cash / ( direct_expenditure / 365 )</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B1 numerator, #62</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Rating agencies’ preferred liquidity metric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Liquidity Tier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Strong (≥180d), Adequate (90–179), Weak (30–89), Vulnerable (&lt;30)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B4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Categorical tiers matching agency language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B6</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Reserve Change (1yr)</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reserve_ratio − lag(reserve_ratio, 1)</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B1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Trend: agencies track trajectories, not just levels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Reserve Change (3yr)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reserve_ratio − lag(reserve_ratio, 3)</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B1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Medium-term trend for structural shifts</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B8</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Reserve Declining (binary)</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1 if reserve_change_1yr &lt; 0</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B6</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Flags year-over-year deterioration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Reserve Decline Streak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Consecutive years of reserve_change_1yr &lt; 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B6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Agencies flag multi-year declines specifically</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B10</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Reserve Ratio (3yr avg)</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3-year rolling mean of B1</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B1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Smooths annual volatility; recommended in operationalization</w:t>
            </w:r>
          </w:p>
        </w:tc>
      </w:tr>
    </w:tbl>
    <w:p>
      <w:pPr>
        <w:spacing w:before="40" w:after="80" w:line="280"/>
      </w:pPr>
      <w:r>
        <w:rPr>
          <w:rFonts w:ascii="Arial" w:cs="Arial" w:eastAsia="Arial" w:hAnsi="Arial"/>
          <w:i/>
          <w:iCs/>
          <w:color w:val="555555"/>
          <w:sz w:val="18"/>
          <w:szCs w:val="18"/>
        </w:rPr>
        <w:t xml:space="preserve">Construction note for B1: Census data does not perfectly map to GAAP unrestricted fund balance. Subtracting insurance trust cash &amp; securities (pensions, unemployment comp) from total cash &amp; securities approximates the unrestricted funds available for general operations. This is the best available ASLGF proxy.</w:t>
      </w:r>
    </w:p>
    <w:p>
      <w:r>
        <w:br w:type="page"/>
      </w:r>
    </w:p>
    <w:p>
      <w:pPr>
        <w:pStyle w:val="Heading1"/>
        <w:spacing w:before="360" w:after="200"/>
      </w:pPr>
      <w:r>
        <w:rPr>
          <w:rFonts w:ascii="Arial" w:cs="Arial" w:eastAsia="Arial" w:hAnsi="Arial"/>
          <w:b/>
          <w:bCs/>
          <w:sz w:val="28"/>
          <w:szCs w:val="28"/>
        </w:rPr>
        <w:t xml:space="preserve">4. Pillar C: Revenue Framework</w:t>
      </w:r>
    </w:p>
    <w:p>
      <w:pPr>
        <w:spacing w:before="60" w:after="100" w:line="300"/>
      </w:pPr>
      <w:r>
        <w:rPr>
          <w:rFonts w:ascii="Arial" w:cs="Arial" w:eastAsia="Arial" w:hAnsi="Arial"/>
          <w:sz w:val="20"/>
          <w:szCs w:val="20"/>
        </w:rPr>
        <w:t xml:space="preserve">Rating agencies judge the predictability and stability of the revenue base, with higher volatility and concentration indicating a weaker credit profile. Asset managers stress-test revenue sensitivity and focus on concentration risk. The following variables capture tax mix diversity, revenue concentration, year-over-year volatility, and own-source revenue autonomy.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Revenue Concentration (HHI)</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share_property² + share_sales² + share_income² + share_charges²</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See C1a–C1d below</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Higher HHI = more concentrated = weaker profile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C1a</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 share_property</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property_tax / gen_rev_own_sources</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#376, #146</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Component of HHI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C1b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 share_sales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total_gen_sales_tax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#452,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Component of HHI</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C1c</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 share_income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total_income_taxes / gen_rev_own_sources</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#466, #146</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Component of HHI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C1d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 share_charges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total_general_charges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#453,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Component of HHI</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Property Tax Dependence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property_tax / total_taxes</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#376, #489</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Vulnerability to housing market &amp; property tax caps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 Revenue Volatility (YoY)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Rolling 3yr SD of: ( total_taxes − lag(total_taxes) ) / lag(total_taxes)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High volatility = fiscal pressure → label use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Own-Source Revenue Share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gen_rev_own_sources / general_revenue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#146, #161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Low share = aid dependence = weaker autonomy</w:t>
            </w:r>
          </w:p>
        </w:tc>
      </w:tr>
    </w:tbl>
    <w:p>
      <w:pPr>
        <w:spacing w:before="40" w:after="80" w:line="280"/>
      </w:pPr>
      <w:r>
        <w:rPr>
          <w:rFonts w:ascii="Arial" w:cs="Arial" w:eastAsia="Arial" w:hAnsi="Arial"/>
          <w:i/>
          <w:iCs/>
          <w:color w:val="555555"/>
          <w:sz w:val="18"/>
          <w:szCs w:val="18"/>
        </w:rPr>
        <w:t xml:space="preserve">Rating-agency linkage: Revenue diversity/volatility directly affects credit risk assessment. The HHI is a standard concentration measure; values range from 0.25 (perfectly diversified across four sources) to 1.0 (single-source). Municipalities above 0.5 are typically flagged for concentration risk.</w:t>
      </w:r>
    </w:p>
    <w:p>
      <w:r>
        <w:br w:type="page"/>
      </w:r>
    </w:p>
    <w:p>
      <w:pPr>
        <w:pStyle w:val="Heading1"/>
        <w:spacing w:before="360" w:after="200"/>
      </w:pPr>
      <w:r>
        <w:rPr>
          <w:rFonts w:ascii="Arial" w:cs="Arial" w:eastAsia="Arial" w:hAnsi="Arial"/>
          <w:b/>
          <w:bCs/>
          <w:sz w:val="28"/>
          <w:szCs w:val="28"/>
        </w:rPr>
        <w:t xml:space="preserve">5. Pillar D: Intergovernmental Aid Dependence</w:t>
      </w:r>
    </w:p>
    <w:p>
      <w:pPr>
        <w:spacing w:before="60" w:after="100" w:line="300"/>
      </w:pPr>
      <w:r>
        <w:rPr>
          <w:rFonts w:ascii="Arial" w:cs="Arial" w:eastAsia="Arial" w:hAnsi="Arial"/>
          <w:sz w:val="20"/>
          <w:szCs w:val="20"/>
        </w:rPr>
        <w:t xml:space="preserve">Rating agencies flag exposure to policy risk from state and federal budget decisions. High reliance on discretionary intergovernmental aid lowers a municipality’s assessed fiscal flexibility. Asset managers watch for state-level fiscal stress that could cut transfers and incorporate policy risk into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IGR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total_ig_revenue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#465, #485 (= #904)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in dataset; primary aid dependence measure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Federal IGR Share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total_fed_ig_revenue / total_revenue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#451, #485 (= #905)</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Already in dataset; federal aid more volatile/policy-dependent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State IGR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total_state_ig_revenue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#488, #485 (= #906)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in dataset; state aid more formulaic but still risky</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Aid Volatility</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Rolling 3yr SD of: ( total_ig_revenue − lag ) / lag within entity</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#465</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Captures policy risk dimension — unpredictability of transfers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Aid Growth Trend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 total_ig_revenue − lag(total_ig_revenue, 3) ) / lag(..., 3)</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Medium-term trajectory of intergovernmental support</w:t>
            </w:r>
          </w:p>
        </w:tc>
      </w:tr>
    </w:tbl>
    <w:p>
      <w:pPr>
        <w:spacing w:before="40" w:after="80" w:line="280"/>
      </w:pPr>
      <w:r>
        <w:rPr>
          <w:rFonts w:ascii="Arial" w:cs="Arial" w:eastAsia="Arial" w:hAnsi="Arial"/>
          <w:i/>
          <w:iCs/>
          <w:color w:val="555555"/>
          <w:sz w:val="18"/>
          <w:szCs w:val="18"/>
        </w:rPr>
        <w:t xml:space="preserve">Theoretical mechanism: High dependence on intergovernmental transfers limits autonomous revenue-raising capacity, potentially pushing municipalities toward market signalling tools like green labels to broaden investor access when transfer uncertainty is high.</w:t>
      </w:r>
    </w:p>
    <w:p>
      <w:r>
        <w:br w:type="page"/>
      </w:r>
    </w:p>
    <w:p>
      <w:pPr>
        <w:pStyle w:val="Heading1"/>
        <w:spacing w:before="360" w:after="200"/>
      </w:pPr>
      <w:r>
        <w:rPr>
          <w:rFonts w:ascii="Arial" w:cs="Arial" w:eastAsia="Arial" w:hAnsi="Arial"/>
          <w:b/>
          <w:bCs/>
          <w:sz w:val="28"/>
          <w:szCs w:val="28"/>
        </w:rPr>
        <w:t xml:space="preserve">6. Pillar E: Long-Term Liabilities</w:t>
      </w:r>
    </w:p>
    <w:p>
      <w:pPr>
        <w:spacing w:before="60" w:after="100" w:line="300"/>
      </w:pPr>
      <w:r>
        <w:rPr>
          <w:rFonts w:ascii="Arial" w:cs="Arial" w:eastAsia="Arial" w:hAnsi="Arial"/>
          <w:sz w:val="20"/>
          <w:szCs w:val="20"/>
        </w:rPr>
        <w:t xml:space="preserve">Rating agencies measure long-term burdens that reduce future fiscal flexibility, including debt service as a percentage of operating revenues, debt per capita, and pension/OPEB obligations. These affect debt capacity and rating notch decisions. This pillar contains the recommended primary replacement for TaxToRev in the partisan interaction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Debt Service Burden (DSB)</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interest_on_gen_debt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#195,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PRIMARY replacement for TaxToRev; agencies’ top debt metric</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Debt Affordability (stock)</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total_long_term_debt_out / gen_rev_own_sources</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#472, #146</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Accumulated debt stock relative to repayment capacity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Debt-to-Revenue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Already in dataset as #910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#910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 revenue denominator; robustness check vs E1</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Debt Per Capita (real)</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Already in dataset as #909</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#909</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Already deflated and per-capita normalised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Pension Expenditure Burden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emp_ret_total_expend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#93,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Cash-flow proxy for pension obligations (see note)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E6</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Pension Funded Ratio (proxy)</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emp_retire_cash_&amp;_sec / emp_ret_total_expend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#96, #93</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Rough asset-to-expenditure ratio (see note)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Combined Liability Burden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 total_long_term_debt_out + emp_ret_total_expend × 10 )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#472, #93,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Approximate stock measure; ×10 capitalises annual pension costs</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E8</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Net Borrowing Intensity</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 total_ltd_issued − total_ltd_retired ) / total_revenue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#476, #483, #485</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Positive = net new debt; captures market reliance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DSB Change (1yr)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dsb − lag(dsb, 1) within entity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E1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Deteriorating DSB triggers negative outlook</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E10</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DSB Change (3yr)</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dsb − lag(dsb, 3) within entity</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E1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Medium-term trajectory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E11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DSB Worsening (binary)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1 if dsb_change_1yr &gt; 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E9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Binary flag for year-over-year deterioration</w:t>
            </w:r>
          </w:p>
        </w:tc>
      </w:tr>
    </w:tbl>
    <w:p>
      <w:pPr>
        <w:spacing w:before="40" w:after="80" w:line="280"/>
      </w:pPr>
      <w:r>
        <w:rPr>
          <w:rFonts w:ascii="Arial" w:cs="Arial" w:eastAsia="Arial" w:hAnsi="Arial"/>
          <w:i/>
          <w:iCs/>
          <w:color w:val="555555"/>
          <w:sz w:val="18"/>
          <w:szCs w:val="18"/>
        </w:rPr>
        <w:t xml:space="preserve">Important caveat for E5–E7: Census of Governments does not contain net pension liability (NPL) or OPEB liability—those require CAFR/actuarial data. E5 captures the cash-flow burden; E6 is a rough asset-to-expenditure ratio, NOT the actuarial funded ratio. E7 uses a crude capitalisation of annual pension costs (×10) as an approximation. Flag these limitations in the paper; for a proper funded ratio or UAAL/revenues, merge in actuarial data from the Public Plans Database or individual CAFRs.</w:t>
      </w:r>
    </w:p>
    <w:p>
      <w:pPr>
        <w:spacing w:before="60" w:after="100" w:line="300"/>
      </w:pPr>
      <w:r>
        <w:rPr>
          <w:rFonts w:ascii="Arial" w:cs="Arial" w:eastAsia="Arial" w:hAnsi="Arial"/>
          <w:b/>
          <w:bCs/>
          <w:sz w:val="20"/>
          <w:szCs w:val="20"/>
        </w:rPr>
        <w:t xml:space="preserve">Recommendation for H3 interaction: </w:t>
      </w:r>
      <w:r>
        <w:rPr>
          <w:rFonts w:ascii="Arial" w:cs="Arial" w:eastAsia="Arial" w:hAnsi="Arial"/>
          <w:sz w:val="20"/>
          <w:szCs w:val="20"/>
        </w:rPr>
        <w:t xml:space="preserve">Replace TaxToRev with E1 (debt_service_burden) as the primary fiscal constraint measure in the Rep_Mayor interaction. This variable sits closest to what agencies actually weight when assessing debt affordability and captures exactly the capital-market signalling mechanism theorised in the DMGF.</w:t>
      </w:r>
    </w:p>
    <w:p>
      <w:r>
        <w:br w:type="page"/>
      </w:r>
    </w:p>
    <w:p>
      <w:pPr>
        <w:pStyle w:val="Heading1"/>
        <w:spacing w:before="360" w:after="200"/>
      </w:pPr>
      <w:r>
        <w:rPr>
          <w:rFonts w:ascii="Arial" w:cs="Arial" w:eastAsia="Arial" w:hAnsi="Arial"/>
          <w:b/>
          <w:bCs/>
          <w:sz w:val="28"/>
          <w:szCs w:val="28"/>
        </w:rPr>
        <w:t xml:space="preserve">7. Pillar F: Legal/Institutional Constraints</w:t>
      </w:r>
    </w:p>
    <w:p>
      <w:pPr>
        <w:spacing w:before="60" w:after="100" w:line="300"/>
      </w:pPr>
      <w:r>
        <w:rPr>
          <w:rFonts w:ascii="Arial" w:cs="Arial" w:eastAsia="Arial" w:hAnsi="Arial"/>
          <w:sz w:val="20"/>
          <w:szCs w:val="20"/>
        </w:rPr>
        <w:t xml:space="preserve">Rating agencies determine formal limits on revenue-raising and fiscal manoeuvres. TELs, voter-approval requirements, balanced-budget rules, and debt limits can constrain scorecard upward flexibility. Asset managers assess political and legal risk to revenue measures.</w:t>
      </w:r>
    </w:p>
    <w:p>
      <w:pPr>
        <w:pStyle w:val="Heading2"/>
        <w:spacing w:before="240" w:after="120"/>
      </w:pPr>
      <w:r>
        <w:rPr>
          <w:rFonts w:ascii="Arial" w:cs="Arial" w:eastAsia="Arial" w:hAnsi="Arial"/>
          <w:b/>
          <w:bCs/>
          <w:sz w:val="24"/>
          <w:szCs w:val="24"/>
        </w:rPr>
        <w:t xml:space="preserve">7.1 Variables Already in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Overall Rate Limit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#753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Institutional constraint on property tax rates</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TEL: Specific Rate Limit</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#754</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Targeted rate restriction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Levy Limit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#755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Cap on total property tax levy</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TEL: Assessment Limit</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#756</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Limit on assessed value growth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Gen. Revenue Limit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#757</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Cap on general revenue growth</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F6</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TEL: Gen. Expenditure Limit</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#758</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Cap on total expenditure growth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Full Disclosure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Binary; already coded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#759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Transparency requirement</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F8</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TEL Stringency (simple)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Composite score; already coded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#760</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Summary TEL intensity measure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Stringency (ADS)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Alternative composite; already coded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#761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Alternative weighting scheme</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F10</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TEL Stringency (normalised)</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Normalised 0–1 index; already coded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#762</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Primary TEL variable for regressions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F11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Stringency (categorical)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Categorical; already coded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#763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For non-linear TEL effects</w:t>
            </w:r>
          </w:p>
        </w:tc>
      </w:tr>
    </w:tbl>
    <w:p>
      <w:pPr>
        <w:pStyle w:val="Heading2"/>
        <w:spacing w:before="240" w:after="120"/>
      </w:pPr>
      <w:r>
        <w:rPr>
          <w:rFonts w:ascii="Arial" w:cs="Arial" w:eastAsia="Arial" w:hAnsi="Arial"/>
          <w:b/>
          <w:bCs/>
          <w:sz w:val="24"/>
          <w:szCs w:val="24"/>
        </w:rPr>
        <w:t xml:space="preserve">7.2 Derived Interaction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F12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 Tax Effort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tel_stringency_normalized × tax_effort_pc</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#762 × A1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 test: binding TELs + high tax effort = max constraint</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F13</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TEL × DSB</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tel_stringency_normalized × debt_service_burden</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#762 × E1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Legal + fiscal constraint interaction</w:t>
            </w:r>
          </w:p>
        </w:tc>
      </w:tr>
    </w:tbl>
    <w:p>
      <w:pPr>
        <w:spacing w:before="40" w:after="80" w:line="280"/>
      </w:pPr>
      <w:r>
        <w:rPr>
          <w:rFonts w:ascii="Arial" w:cs="Arial" w:eastAsia="Arial" w:hAnsi="Arial"/>
          <w:i/>
          <w:iCs/>
          <w:color w:val="555555"/>
          <w:sz w:val="18"/>
          <w:szCs w:val="18"/>
        </w:rPr>
        <w:t xml:space="preserve">The levy gap variable (allowable levy growth minus actual levy growth) from your operationalization table CANNOT be constructed from Census data. It requires state comptroller levy reports matched to statutory allowable growth rates. Similarly, balanced-budget and debt-limit indicators require separate state statute coding, though TEL variables partially capture these constraints.</w:t>
      </w:r>
    </w:p>
    <w:p>
      <w:r>
        <w:br w:type="page"/>
      </w:r>
    </w:p>
    <w:p>
      <w:pPr>
        <w:pStyle w:val="Heading1"/>
        <w:spacing w:before="360" w:after="200"/>
      </w:pPr>
      <w:r>
        <w:rPr>
          <w:rFonts w:ascii="Arial" w:cs="Arial" w:eastAsia="Arial" w:hAnsi="Arial"/>
          <w:b/>
          <w:bCs/>
          <w:sz w:val="28"/>
          <w:szCs w:val="28"/>
        </w:rPr>
        <w:t xml:space="preserve">8. Pillar G: Market/Security Structure</w:t>
      </w:r>
    </w:p>
    <w:p>
      <w:pPr>
        <w:spacing w:before="60" w:after="100" w:line="300"/>
      </w:pPr>
      <w:r>
        <w:rPr>
          <w:rFonts w:ascii="Arial" w:cs="Arial" w:eastAsia="Arial" w:hAnsi="Arial"/>
          <w:sz w:val="20"/>
          <w:szCs w:val="20"/>
        </w:rPr>
        <w:t xml:space="preserve">Rating agencies distinguish security type (GO vs revenue pledges), which affects recovery and risk assessment. GO bonds, backed by taxing power, are typically rated more favourably but also expose taxpayers. Asset managers focus on marketability, covenant strength, and how instrument mix affects green-label demand dynamics.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GO Bond Share (outstanding)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ltd_out_general / total_long_term_debt_out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#276, #472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Share of debt backed by taxing power</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G2</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GO Bond Share (new issuance)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ltd_iss_general / total_ltd_issued</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#237, #476</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Current-year issuance mix vs legacy stock</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Revenue Bond Share (outstanding)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total_ltd_out_utility / total_long_term_debt_out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#479, #472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Utility revenue bond share specifically</w:t>
            </w:r>
          </w:p>
        </w:tc>
      </w:tr>
    </w:tbl>
    <w:p>
      <w:pPr>
        <w:spacing w:before="40" w:after="80" w:line="280"/>
      </w:pPr>
      <w:r>
        <w:rPr>
          <w:rFonts w:ascii="Arial" w:cs="Arial" w:eastAsia="Arial" w:hAnsi="Arial"/>
          <w:i/>
          <w:iCs/>
          <w:color w:val="555555"/>
          <w:sz w:val="18"/>
          <w:szCs w:val="18"/>
        </w:rPr>
        <w:t xml:space="preserve">Mechanism test: whether fiscally constrained issuers shift their instrument mix or strategically label GO bonds (with stronger credit backing) as green to maximise signalling value to investors.</w:t>
      </w:r>
    </w:p>
    <w:p>
      <w:r>
        <w:br w:type="page"/>
      </w:r>
    </w:p>
    <w:p>
      <w:r>
        <w:br w:type="page"/>
      </w:r>
    </w:p>
    <w:p>
      <w:pPr>
        <w:pStyle w:val="Heading1"/>
        <w:spacing w:before="360" w:after="200"/>
      </w:pPr>
      <w:r>
        <w:rPr>
          <w:rFonts w:ascii="Arial" w:cs="Arial" w:eastAsia="Arial" w:hAnsi="Arial"/>
          <w:b/>
          <w:bCs/>
          <w:sz w:val="28"/>
          <w:szCs w:val="28"/>
        </w:rPr>
        <w:t xml:space="preserve">9. Pillar I: Fiscal Federalism / Decentralisation</w:t>
      </w:r>
    </w:p>
    <w:p>
      <w:pPr>
        <w:spacing w:before="60" w:after="100" w:line="300"/>
      </w:pPr>
      <w:r>
        <w:rPr>
          <w:rFonts w:ascii="Arial" w:cs="Arial" w:eastAsia="Arial" w:hAnsi="Arial"/>
          <w:sz w:val="20"/>
          <w:szCs w:val="20"/>
        </w:rPr>
        <w:t xml:space="preserve">This pillar operationalises concepts from the comparative fiscal federalism literature (Rodden, 2004; Oates, 1999) at the municipal level. Rodden argues that expenditure decentralisation alone is an insufficient proxy for fiscal autonomy: one must also examine revenue sources (own-source vs. grants), tax autonomy, the vertical fiscal gap, grant composition, and borrowing independence. The following variables capture these dimensions using Census of Governments data, enabling tests of how fiscal autonomy structures interact with green bond issuance decisions.</w:t>
      </w:r>
    </w:p>
    <w:p>
      <w:pPr>
        <w:pStyle w:val="Heading2"/>
        <w:spacing w:before="240" w:after="120"/>
      </w:pPr>
      <w:r>
        <w:rPr>
          <w:rFonts w:ascii="Arial" w:cs="Arial" w:eastAsia="Arial" w:hAnsi="Arial"/>
          <w:b/>
          <w:bCs/>
          <w:sz w:val="24"/>
          <w:szCs w:val="24"/>
        </w:rPr>
        <w:t xml:space="preserve">9.1 Revenue Autonomy</w:t>
      </w:r>
    </w:p>
    <w:p>
      <w:pPr>
        <w:spacing w:before="60" w:after="100" w:line="300"/>
      </w:pPr>
      <w:r>
        <w:rPr>
          <w:rFonts w:ascii="Arial" w:cs="Arial" w:eastAsia="Arial" w:hAnsi="Arial"/>
          <w:sz w:val="20"/>
          <w:szCs w:val="20"/>
        </w:rPr>
        <w:t xml:space="preserve">Rodden’s core critique of simple expenditure shares is that they conflate delegated spending (funded by earmarked grants) with genuine fiscal autonomy. Revenue autonomy measures capture the share of revenue that municipalities raise independently, distinguishing between tax revenue and user charges.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Revenue Autonomy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1 - igr_share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#904 (derived)</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Complement of aid dependence; share of revenue raised locally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 Autonomy Ratio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total_taxes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Tax reliance within total revenue; captures own-tax effort vs. all sources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Tax-to-Own-Source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total_taxes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Tax reliance within own-source revenue; distinguishes taxes from charges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Charges-to-Own-Source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total_general_charges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#453,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User fee reliance within own-source; alternative revenue strategy</w:t>
            </w:r>
          </w:p>
        </w:tc>
      </w:tr>
    </w:tbl>
    <w:p>
      <w:pPr>
        <w:spacing w:before="40" w:after="80" w:line="280"/>
      </w:pPr>
      <w:r>
        <w:rPr>
          <w:rFonts w:ascii="Arial" w:cs="Arial" w:eastAsia="Arial" w:hAnsi="Arial"/>
          <w:i/>
          <w:iCs/>
          <w:color w:val="555555"/>
          <w:sz w:val="18"/>
          <w:szCs w:val="18"/>
        </w:rPr>
        <w:t xml:space="preserve">Rating-agency linkage: Own-source revenue share directly enters S&amp;P and Moody’s revenue framework assessments. Higher revenue autonomy signals greater capacity to adjust fiscal policy independently, reducing transfer-dependence risk.</w:t>
      </w:r>
    </w:p>
    <w:p>
      <w:pPr>
        <w:pStyle w:val="Heading2"/>
        <w:spacing w:before="240" w:after="120"/>
      </w:pPr>
      <w:r>
        <w:rPr>
          <w:rFonts w:ascii="Arial" w:cs="Arial" w:eastAsia="Arial" w:hAnsi="Arial"/>
          <w:b/>
          <w:bCs/>
          <w:sz w:val="24"/>
          <w:szCs w:val="24"/>
        </w:rPr>
        <w:t xml:space="preserve">9.2 Tax Structure</w:t>
      </w:r>
    </w:p>
    <w:p>
      <w:pPr>
        <w:spacing w:before="60" w:after="100" w:line="300"/>
      </w:pPr>
      <w:r>
        <w:rPr>
          <w:rFonts w:ascii="Arial" w:cs="Arial" w:eastAsia="Arial" w:hAnsi="Arial"/>
          <w:sz w:val="20"/>
          <w:szCs w:val="20"/>
        </w:rPr>
        <w:t xml:space="preserve">Rodden notes that the type of own-source revenue matters: a municipality reliant on a single tax base (e.g., property tax) faces different autonomy constraints than one with diversified sources. The HHI captures concentration risk across the tax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Property Tax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property_tax / total_taxes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#376, #489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Quintessential local autonomous tax; vulnerability to housing market &amp; caps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Sales Tax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total_gen_sales_tax / total_taxes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#452, #489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Consumption tax reliance; often shared or state-authorised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Income Tax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total_income_taxes / total_taxes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#466, #489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Progressive tax capacity; limited to subset of municipalities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 HHI (Concentration)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 share_i² across property, sales, income, other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#376, #452, #466, #489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Diversification index; 0.25 = balanced, 1.0 = single-source</w:t>
            </w:r>
          </w:p>
        </w:tc>
      </w:tr>
    </w:tbl>
    <w:p>
      <w:pPr>
        <w:spacing w:before="40" w:after="80" w:line="280"/>
      </w:pPr>
      <w:r>
        <w:rPr>
          <w:rFonts w:ascii="Arial" w:cs="Arial" w:eastAsia="Arial" w:hAnsi="Arial"/>
          <w:i/>
          <w:iCs/>
          <w:color w:val="555555"/>
          <w:sz w:val="18"/>
          <w:szCs w:val="18"/>
        </w:rPr>
        <w:t xml:space="preserve">Construction note for I8: Compute shares as property_tax/total_taxes, total_gen_sales_tax/total_taxes, total_income_taxes/total_taxes, and (total_taxes - property - sales - income)/total_taxes. Sum the squared shares. Values range from 0.25 (perfectly diversified across four sources) to 1.0 (single-source). Municipalities above 0.5 face meaningful concentration risk.</w:t>
      </w:r>
    </w:p>
    <w:p>
      <w:pPr>
        <w:pStyle w:val="Heading2"/>
        <w:spacing w:before="240" w:after="120"/>
      </w:pPr>
      <w:r>
        <w:rPr>
          <w:rFonts w:ascii="Arial" w:cs="Arial" w:eastAsia="Arial" w:hAnsi="Arial"/>
          <w:b/>
          <w:bCs/>
          <w:sz w:val="24"/>
          <w:szCs w:val="24"/>
        </w:rPr>
        <w:t xml:space="preserve">9.3 Vertical Fiscal Imbalance</w:t>
      </w:r>
    </w:p>
    <w:p>
      <w:pPr>
        <w:spacing w:before="60" w:after="100" w:line="300"/>
      </w:pPr>
      <w:r>
        <w:rPr>
          <w:rFonts w:ascii="Arial" w:cs="Arial" w:eastAsia="Arial" w:hAnsi="Arial"/>
          <w:sz w:val="20"/>
          <w:szCs w:val="20"/>
        </w:rPr>
        <w:t xml:space="preserve">The gap between expenditure responsibilities and own-source revenue is central to Rodden’s argument about the “illusion of decentralisation.” High VFI means the municipality spends more than it raises, filling the gap with intergovernmental transfers. This constrains autonomous fiscal policy and makes the municipality vulnerable to transfer volatility.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Vertical Fiscal Imbalance (VFI)</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1 - (gen_rev_own_sources / direct_general_expend)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#146, #62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Classic VFI measure; higher = greater reliance on transfers to fund spending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Fiscal Self-Sufficiency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gen_rev_own_sources / direct_general_expend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#146, #62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Inverse of VFI; share of direct spending covered by own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Expenditure Gap (real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(direct_general_expend - gen_rev_own_sources)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#62, #146,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Levels measure of the funding gap; real per-capita normalised</w:t>
            </w:r>
          </w:p>
        </w:tc>
      </w:tr>
    </w:tbl>
    <w:p>
      <w:pPr>
        <w:spacing w:before="40" w:after="80" w:line="280"/>
      </w:pPr>
      <w:r>
        <w:rPr>
          <w:rFonts w:ascii="Arial" w:cs="Arial" w:eastAsia="Arial" w:hAnsi="Arial"/>
          <w:i/>
          <w:iCs/>
          <w:color w:val="555555"/>
          <w:sz w:val="18"/>
          <w:szCs w:val="18"/>
        </w:rPr>
        <w:t xml:space="preserve">Theoretical mechanism: VFI captures the structural dependence on higher-level government financing. Municipalities with high VFI may be more likely to pursue market-based signalling strategies (such as green labels) to diversify funding sources and reduce transfer vulnerability.</w:t>
      </w:r>
    </w:p>
    <w:p>
      <w:pPr>
        <w:pStyle w:val="Heading2"/>
        <w:spacing w:before="240" w:after="120"/>
      </w:pPr>
      <w:r>
        <w:rPr>
          <w:rFonts w:ascii="Arial" w:cs="Arial" w:eastAsia="Arial" w:hAnsi="Arial"/>
          <w:b/>
          <w:bCs/>
          <w:sz w:val="24"/>
          <w:szCs w:val="24"/>
        </w:rPr>
        <w:t xml:space="preserve">9.4 Grant Composition</w:t>
      </w:r>
    </w:p>
    <w:p>
      <w:pPr>
        <w:spacing w:before="60" w:after="100" w:line="300"/>
      </w:pPr>
      <w:r>
        <w:rPr>
          <w:rFonts w:ascii="Arial" w:cs="Arial" w:eastAsia="Arial" w:hAnsi="Arial"/>
          <w:sz w:val="20"/>
          <w:szCs w:val="20"/>
        </w:rPr>
        <w:t xml:space="preserve">Rodden stresses that not all intergovernmental transfers are equivalent: federal grants tend to be more discretionary and volatile, state grants more formulaic but subject to state-level fiscal stress, and local horizontal transfers reflect cooperative governance arrangements.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Federal Grant Share of Grants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total_fed_ig_revenue / total_ig_revenue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#451, #465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Federal vs. state dependence within transfers; federal aid more volatile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State Grant Share of Grants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total_state_ig_revenue / total_ig_revenue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#488, #465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State share of transfers; often formulaic but subject to state fiscal stress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Local IG Share of Grants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tot_local_ig_rev / total_ig_revenue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#474, #465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Horizontal transfers from other local governments</w:t>
            </w:r>
          </w:p>
        </w:tc>
      </w:tr>
    </w:tbl>
    <w:p>
      <w:pPr>
        <w:spacing w:before="40" w:after="80" w:line="280"/>
      </w:pPr>
      <w:r>
        <w:rPr>
          <w:rFonts w:ascii="Arial" w:cs="Arial" w:eastAsia="Arial" w:hAnsi="Arial"/>
          <w:i/>
          <w:iCs/>
          <w:color w:val="555555"/>
          <w:sz w:val="18"/>
          <w:szCs w:val="18"/>
        </w:rPr>
        <w:t xml:space="preserve">These variables decompose the total IGR share (D1) by funding source within total grants, revealing the composition of the transfer portfolio conditional on receiving aid.</w:t>
      </w:r>
    </w:p>
    <w:p>
      <w:pPr>
        <w:pStyle w:val="Heading2"/>
        <w:spacing w:before="240" w:after="120"/>
      </w:pPr>
      <w:r>
        <w:rPr>
          <w:rFonts w:ascii="Arial" w:cs="Arial" w:eastAsia="Arial" w:hAnsi="Arial"/>
          <w:b/>
          <w:bCs/>
          <w:sz w:val="24"/>
          <w:szCs w:val="24"/>
        </w:rPr>
        <w:t xml:space="preserve">9.5 Intergovernmental Expenditure</w:t>
      </w:r>
    </w:p>
    <w:p>
      <w:pPr>
        <w:spacing w:before="60" w:after="100" w:line="300"/>
      </w:pPr>
      <w:r>
        <w:rPr>
          <w:rFonts w:ascii="Arial" w:cs="Arial" w:eastAsia="Arial" w:hAnsi="Arial"/>
          <w:sz w:val="20"/>
          <w:szCs w:val="20"/>
        </w:rPr>
        <w:t xml:space="preserve">Rodden’s framework emphasises that fiscal federalism involves “intertwined” rather than cleanly separated authority. Municipalities that pass through substantial funds to other jurisdictions occupy a different position in the federal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IG Expenditure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total_ig_expenditure / total_expenditure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#464,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City as pass-through; captures intertwined governance structure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Direct Expenditure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direct_expenditure / total_expenditure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#62,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Complement of I15; share of spending directly administered</w:t>
            </w:r>
          </w:p>
        </w:tc>
      </w:tr>
    </w:tbl>
    <w:p>
      <w:pPr>
        <w:pStyle w:val="Heading2"/>
        <w:spacing w:before="240" w:after="120"/>
      </w:pPr>
      <w:r>
        <w:rPr>
          <w:rFonts w:ascii="Arial" w:cs="Arial" w:eastAsia="Arial" w:hAnsi="Arial"/>
          <w:b/>
          <w:bCs/>
          <w:sz w:val="24"/>
          <w:szCs w:val="24"/>
        </w:rPr>
        <w:t xml:space="preserve">9.6 Borrowing Autonomy</w:t>
      </w:r>
    </w:p>
    <w:p>
      <w:pPr>
        <w:spacing w:before="60" w:after="100" w:line="300"/>
      </w:pPr>
      <w:r>
        <w:rPr>
          <w:rFonts w:ascii="Arial" w:cs="Arial" w:eastAsia="Arial" w:hAnsi="Arial"/>
          <w:sz w:val="20"/>
          <w:szCs w:val="20"/>
        </w:rPr>
        <w:t xml:space="preserve">Rodden’s Table 1 identifies borrowing autonomy as a distinct dimension of fiscal decentralisation. The ability to access credit markets independently reflects both formal constraints and effective fiscal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Short-Term Debt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st_debt_end_of_year / total_debt_outstanding</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#396, #405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Short-term reliance signals liquidity stress or constrained long-term access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Debt Service / General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total_interest_on_debt / general_revenue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#195, #161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Alternative DSB denominator (general revenue vs. own-source in E1)</w:t>
            </w:r>
          </w:p>
        </w:tc>
      </w:tr>
    </w:tbl>
    <w:p>
      <w:pPr>
        <w:spacing w:before="40" w:after="80" w:line="280"/>
      </w:pPr>
      <w:r>
        <w:rPr>
          <w:rFonts w:ascii="Arial" w:cs="Arial" w:eastAsia="Arial" w:hAnsi="Arial"/>
          <w:i/>
          <w:iCs/>
          <w:color w:val="555555"/>
          <w:sz w:val="18"/>
          <w:szCs w:val="18"/>
        </w:rPr>
        <w:t xml:space="preserve">Note: I18 uses general_revenue as denominator rather than gen_rev_own_sources (as in E1). This provides an alternative scaling that includes transfer revenue in the base.</w:t>
      </w:r>
    </w:p>
    <w:p>
      <w:pPr>
        <w:pStyle w:val="Heading2"/>
        <w:spacing w:before="240" w:after="120"/>
      </w:pPr>
      <w:r>
        <w:rPr>
          <w:rFonts w:ascii="Arial" w:cs="Arial" w:eastAsia="Arial" w:hAnsi="Arial"/>
          <w:b/>
          <w:bCs/>
          <w:sz w:val="24"/>
          <w:szCs w:val="24"/>
        </w:rPr>
        <w:t xml:space="preserve">9.7 TEL Interaction Variables</w:t>
      </w:r>
    </w:p>
    <w:p>
      <w:pPr>
        <w:spacing w:before="60" w:after="100" w:line="300"/>
      </w:pPr>
      <w:r>
        <w:rPr>
          <w:rFonts w:ascii="Arial" w:cs="Arial" w:eastAsia="Arial" w:hAnsi="Arial"/>
          <w:sz w:val="20"/>
          <w:szCs w:val="20"/>
        </w:rPr>
        <w:t xml:space="preserve">Tax and expenditure limitations are state-imposed constraints on local fiscal autonomy. A municipality with high own-source revenue but binding TELs has very different effective autonomy than one without such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 Revenue Autonomy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tel_stringency_normalised × revenue_autonomy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#762 × I1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High own-source + binding TELs = constrained effective autonomy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I20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TEL × VFI</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tel_stringency_normalised × vfi</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#762 × I9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TEL stringency conditional on vertical fiscal gap</w:t>
            </w:r>
          </w:p>
        </w:tc>
      </w:tr>
    </w:tbl>
    <w:p>
      <w:pPr>
        <w:spacing w:before="40" w:after="80" w:line="280"/>
      </w:pPr>
      <w:r>
        <w:rPr>
          <w:rFonts w:ascii="Arial" w:cs="Arial" w:eastAsia="Arial" w:hAnsi="Arial"/>
          <w:i/>
          <w:iCs/>
          <w:color w:val="555555"/>
          <w:sz w:val="18"/>
          <w:szCs w:val="18"/>
        </w:rPr>
        <w:t xml:space="preserve">These interactions test whether state-imposed constraints moderate the relationship between structural fiscal position and green bond issuance.</w:t>
      </w:r>
    </w:p>
    <w:p>
      <w:r>
        <w:br w:type="page"/>
      </w:r>
    </w:p>
    <w:p>
      <w:pPr>
        <w:pStyle w:val="Heading1"/>
        <w:spacing w:before="360" w:after="200"/>
      </w:pPr>
      <w:r>
        <w:rPr>
          <w:rFonts w:ascii="Arial" w:cs="Arial" w:eastAsia="Arial" w:hAnsi="Arial"/>
          <w:b/>
          <w:bCs/>
          <w:sz w:val="28"/>
          <w:szCs w:val="28"/>
        </w:rPr>
        <w:t xml:space="preserve">10. Pillar J: Standard Fiscal Controls</w:t>
      </w:r>
    </w:p>
    <w:p>
      <w:pPr>
        <w:spacing w:before="60" w:after="100" w:line="300"/>
      </w:pPr>
      <w:r>
        <w:rPr>
          <w:rFonts w:ascii="Arial" w:cs="Arial" w:eastAsia="Arial" w:hAnsi="Arial"/>
          <w:sz w:val="20"/>
          <w:szCs w:val="20"/>
        </w:rPr>
        <w:t xml:space="preserve">This pillar provides the fundamental fiscal building blocks typically controlled for in municipal finance research. These are the raw and normalised measures of revenue, expenditure, debt, and balance sheet position that underpin the ratio-based variables in earlier pillars. Including these as controls ensures that results are not driven by scale effects or omitted variable bias from basic fiscal conditions.</w:t>
      </w:r>
    </w:p>
    <w:p>
      <w:pPr>
        <w:pStyle w:val="Heading2"/>
        <w:spacing w:before="240" w:after="120"/>
      </w:pPr>
      <w:r>
        <w:rPr>
          <w:rFonts w:ascii="Arial" w:cs="Arial" w:eastAsia="Arial" w:hAnsi="Arial"/>
          <w:b/>
          <w:bCs/>
          <w:sz w:val="24"/>
          <w:szCs w:val="24"/>
        </w:rPr>
        <w:t xml:space="preserve">10.1 Revenue Levels</w:t>
      </w:r>
    </w:p>
    <w:p>
      <w:pPr>
        <w:spacing w:before="60" w:after="100" w:line="300"/>
      </w:pPr>
      <w:r>
        <w:rPr>
          <w:rFonts w:ascii="Arial" w:cs="Arial" w:eastAsia="Arial" w:hAnsi="Arial"/>
          <w:sz w:val="20"/>
          <w:szCs w:val="20"/>
        </w:rPr>
        <w:t xml:space="preserve">Revenue variables should typically be normalised per-capita and deflated to real terms to ensure comparability across municipalities of different sizes and across time. Log transformations are appropriate for highly skewed distributions.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Aggregate revenue from all sources; use log or per-capita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Revenue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(total_revenue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#485,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normalised; controls for city size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General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general_revenue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#161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General revenue excluding utilities/liquor stores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General Revenue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(general_revenue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#161,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general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Taxes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total_taxes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Aggregate tax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Taxes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(total_taxes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tax revenue; fiscal capacity measure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Property Tax</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property_tax</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#376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Property tax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Property Tax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(property_tax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#376,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property tax</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General Sales Tax</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total_gen_sales_tax</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General sales tax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Income Taxes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total_income_taxes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Income tax revenue (where levied)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Charges &amp; Fees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total_general_charges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User charges and fee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Own-Source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Own-source general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Own-Source Rev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(gen_rev_own_sources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#146, #892, #890 (=#911)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own-source; already in dataset as #911</w:t>
            </w:r>
          </w:p>
        </w:tc>
      </w:tr>
    </w:tbl>
    <w:p>
      <w:pPr>
        <w:pStyle w:val="Heading2"/>
        <w:spacing w:before="240" w:after="120"/>
      </w:pPr>
      <w:r>
        <w:rPr>
          <w:rFonts w:ascii="Arial" w:cs="Arial" w:eastAsia="Arial" w:hAnsi="Arial"/>
          <w:b/>
          <w:bCs/>
          <w:sz w:val="24"/>
          <w:szCs w:val="24"/>
        </w:rPr>
        <w:t xml:space="preserve">10.2 Intergovernmental Revenue</w:t>
      </w:r>
    </w:p>
    <w:p>
      <w:pPr>
        <w:spacing w:before="60" w:after="100" w:line="300"/>
      </w:pPr>
      <w:r>
        <w:rPr>
          <w:rFonts w:ascii="Arial" w:cs="Arial" w:eastAsia="Arial" w:hAnsi="Arial"/>
          <w:sz w:val="20"/>
          <w:szCs w:val="20"/>
        </w:rPr>
        <w:t xml:space="preserve">Intergovernmental revenue decomposes total revenue by source (federal, state, local). These are essential for testing fiscal federalism mechanisms and grant dependence hypotheses.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IG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total_ig_revenue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 intergovernmental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IG Revenue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(total_ig_revenue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#465,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IG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Federal IG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total_fed_ig_revenue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Federal intergovernmental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State IG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total_state_ig_revenue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#488</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State intergovernmental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Local IG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tot_local_ig_rev</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Revenue from other local governments</w:t>
            </w:r>
          </w:p>
        </w:tc>
      </w:tr>
    </w:tbl>
    <w:p>
      <w:pPr>
        <w:pStyle w:val="Heading2"/>
        <w:spacing w:before="240" w:after="120"/>
      </w:pPr>
      <w:r>
        <w:rPr>
          <w:rFonts w:ascii="Arial" w:cs="Arial" w:eastAsia="Arial" w:hAnsi="Arial"/>
          <w:b/>
          <w:bCs/>
          <w:sz w:val="24"/>
          <w:szCs w:val="24"/>
        </w:rPr>
        <w:t xml:space="preserve">10.3 Expenditure Levels</w:t>
      </w:r>
    </w:p>
    <w:p>
      <w:pPr>
        <w:spacing w:before="60" w:after="100" w:line="300"/>
      </w:pPr>
      <w:r>
        <w:rPr>
          <w:rFonts w:ascii="Arial" w:cs="Arial" w:eastAsia="Arial" w:hAnsi="Arial"/>
          <w:sz w:val="20"/>
          <w:szCs w:val="20"/>
        </w:rPr>
        <w:t xml:space="preserve">Expenditure variables capture the scale and composition of municipal spending. Direct expenditure excludes intergovernmental transfers out, providing a cleaner measure of the municipality’s own service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Expenditure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Aggregate expenditure; use log or per-capita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Expenditure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(total_expenditure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#485,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total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Direct Expenditure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direct_expenditure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Direct expenditure (excludes IG transfers out)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Direct Expenditure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(direct_expenditure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#62, #892,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direct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Direct General Expend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direct_general_expend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Direct general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Current Operations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total_current_oper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Current operating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Current Oper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total_current_oper / direct_expenditure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#454, #62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Share of spending on current operations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Capital Outlay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total_capital_outlay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Capital outlays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Capital Outlay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(total_capital_outlay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#455, #892, #890 (=#894)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capital; already in dataset as #894</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Capital Outlay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total_capital_outlay / direct_expenditure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#455, #62 (=#893)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Capital intensity; already in dataset as #893</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Interest on Gen Debt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interest_on_gen_debt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#195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Interest payments on general debt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IG Expenditure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total_ig_expenditure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Intergovernmental expenditure (transfers out)</w:t>
            </w:r>
          </w:p>
        </w:tc>
      </w:tr>
    </w:tbl>
    <w:p>
      <w:pPr>
        <w:pStyle w:val="Heading2"/>
        <w:spacing w:before="240" w:after="120"/>
      </w:pPr>
      <w:r>
        <w:rPr>
          <w:rFonts w:ascii="Arial" w:cs="Arial" w:eastAsia="Arial" w:hAnsi="Arial"/>
          <w:b/>
          <w:bCs/>
          <w:sz w:val="24"/>
          <w:szCs w:val="24"/>
        </w:rPr>
        <w:t xml:space="preserve">10.4 Functional Expenditure</w:t>
      </w:r>
    </w:p>
    <w:p>
      <w:pPr>
        <w:spacing w:before="60" w:after="100" w:line="300"/>
      </w:pPr>
      <w:r>
        <w:rPr>
          <w:rFonts w:ascii="Arial" w:cs="Arial" w:eastAsia="Arial" w:hAnsi="Arial"/>
          <w:sz w:val="20"/>
          <w:szCs w:val="20"/>
        </w:rPr>
        <w:t xml:space="preserve">Functional expenditure categories capture spending by service area. Several categories (highways, sewerage, parks, housing) are particularly relevant as proxies for the green-eligible project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Police Protection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police_prot_total_exp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#367</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Police protection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Fire Protection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fire_prot_total_expend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#130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Fire protection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Highways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highways_total_expend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#184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Highways/roads expenditure; green-eligible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Sewerage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sewerage_total_expend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Sewerage expenditure; green-eligible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Solid Waste Mgmt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solid_wst_man_tot_exp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#395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Solid waste management; green-eligible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Parks &amp; Recreation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parks_rec_total_exp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#340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Parks and recreation; green-eligible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Housing &amp; Comm Dev</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hous_com_dev_tot_exp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#186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Housing and community development; green-eligible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Public Welfare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public_welf_total_exp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#389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Public welfare; mandatory spending component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Health &amp; Hospitals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health_total_expend + hosp_total_expend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#167, #185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Health and hospital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Education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educ_total_expend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#79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Education expenditure (where applicable)</w:t>
            </w:r>
          </w:p>
        </w:tc>
      </w:tr>
    </w:tbl>
    <w:p>
      <w:pPr>
        <w:spacing w:before="40" w:after="80" w:line="280"/>
      </w:pPr>
      <w:r>
        <w:rPr>
          <w:rFonts w:ascii="Arial" w:cs="Arial" w:eastAsia="Arial" w:hAnsi="Arial"/>
          <w:i/>
          <w:iCs/>
          <w:color w:val="555555"/>
          <w:sz w:val="18"/>
          <w:szCs w:val="18"/>
        </w:rPr>
        <w:t xml:space="preserve">Green-eligible categories: highways, sewerage, solid waste, parks, housing/community development, transit (if available), and utilities. These functional areas align with ICMA Green Bond Principles eligible use categories and can proxy for the availability of labelable projects.</w:t>
      </w:r>
    </w:p>
    <w:p>
      <w:pPr>
        <w:pStyle w:val="Heading2"/>
        <w:spacing w:before="240" w:after="120"/>
      </w:pPr>
      <w:r>
        <w:rPr>
          <w:rFonts w:ascii="Arial" w:cs="Arial" w:eastAsia="Arial" w:hAnsi="Arial"/>
          <w:b/>
          <w:bCs/>
          <w:sz w:val="24"/>
          <w:szCs w:val="24"/>
        </w:rPr>
        <w:t xml:space="preserve">10.5 Debt Stock</w:t>
      </w:r>
    </w:p>
    <w:p>
      <w:pPr>
        <w:spacing w:before="60" w:after="100" w:line="300"/>
      </w:pPr>
      <w:r>
        <w:rPr>
          <w:rFonts w:ascii="Arial" w:cs="Arial" w:eastAsia="Arial" w:hAnsi="Arial"/>
          <w:sz w:val="20"/>
          <w:szCs w:val="20"/>
        </w:rPr>
        <w:t xml:space="preserve">Debt stock variables measure the accumulated borrowing position. The composition between GO bonds (backed by taxing power) and revenue bonds (backed by project income) affects both credit assessment and green labelling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Debt Outstanding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total_debt_outstanding</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#405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 debt outstanding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Debt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(total_debt_outstanding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#405, #892, #890 (=#909)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debt; already in dataset as #909</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Long-Term Debt Out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total_long_term_debt_out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debt outstanding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Short-Term Debt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st_debt_end_of_year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#396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Short-term debt at year end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GO Bonds Outstanding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ltd_out_general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#276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General obligation bonds outstanding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Revenue Bonds Out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total_ltd_out_utility + ltd_out_nec</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#479, #278</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Revenue/utility bonds outstanding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GO Bond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ltd_out_general / total_long_term_debt_out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#276, #472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Share of debt backed by taxing power</w:t>
            </w:r>
          </w:p>
        </w:tc>
      </w:tr>
    </w:tbl>
    <w:p>
      <w:pPr>
        <w:pStyle w:val="Heading2"/>
        <w:spacing w:before="240" w:after="120"/>
      </w:pPr>
      <w:r>
        <w:rPr>
          <w:rFonts w:ascii="Arial" w:cs="Arial" w:eastAsia="Arial" w:hAnsi="Arial"/>
          <w:b/>
          <w:bCs/>
          <w:sz w:val="24"/>
          <w:szCs w:val="24"/>
        </w:rPr>
        <w:t xml:space="preserve">10.6 Debt Flow</w:t>
      </w:r>
    </w:p>
    <w:p>
      <w:pPr>
        <w:spacing w:before="60" w:after="100" w:line="300"/>
      </w:pPr>
      <w:r>
        <w:rPr>
          <w:rFonts w:ascii="Arial" w:cs="Arial" w:eastAsia="Arial" w:hAnsi="Arial"/>
          <w:sz w:val="20"/>
          <w:szCs w:val="20"/>
        </w:rPr>
        <w:t xml:space="preserve">Debt flow variables capture borrowing activity during the year. Net borrowing (issuance minus retirement) indicates whether the municipality is expanding or contracting its debt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LTD Issued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total_ltd_issued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debt issued during year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LTD Retired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total_ltd_retired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debt retired during year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Net Borrowing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total_ltd_issued - total_ltd_retired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#476, #483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Net new long-term borrowing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Net Borrowing /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(total_ltd_issued - total_ltd_retired)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#476, #483,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Net borrowing as share of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GO Bonds Issued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ltd_iss_general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#237</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GO bonds issued during year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GO Issuance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ltd_iss_general / total_ltd_issued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#237, #476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Share of new issuance that is GO</w:t>
            </w:r>
          </w:p>
        </w:tc>
      </w:tr>
    </w:tbl>
    <w:p>
      <w:pPr>
        <w:spacing w:before="40" w:after="80" w:line="280"/>
      </w:pPr>
      <w:r>
        <w:rPr>
          <w:rFonts w:ascii="Arial" w:cs="Arial" w:eastAsia="Arial" w:hAnsi="Arial"/>
          <w:i/>
          <w:iCs/>
          <w:color w:val="555555"/>
          <w:sz w:val="18"/>
          <w:szCs w:val="18"/>
        </w:rPr>
        <w:t xml:space="preserve">Note: Positive net borrowing indicates the municipality is adding to its debt stock; negative values indicate net debt reduction. The GO issuance share (J53) is relevant for testing whether fiscally constrained issuers strategically use GO vs. revenue bond structures when labelling green.</w:t>
      </w:r>
    </w:p>
    <w:p>
      <w:pPr>
        <w:pStyle w:val="Heading2"/>
        <w:spacing w:before="240" w:after="120"/>
      </w:pPr>
      <w:r>
        <w:rPr>
          <w:rFonts w:ascii="Arial" w:cs="Arial" w:eastAsia="Arial" w:hAnsi="Arial"/>
          <w:b/>
          <w:bCs/>
          <w:sz w:val="24"/>
          <w:szCs w:val="24"/>
        </w:rPr>
        <w:t xml:space="preserve">10.7 Balance Sheet / Liquidity</w:t>
      </w:r>
    </w:p>
    <w:p>
      <w:pPr>
        <w:spacing w:before="60" w:after="100" w:line="300"/>
      </w:pPr>
      <w:r>
        <w:rPr>
          <w:rFonts w:ascii="Arial" w:cs="Arial" w:eastAsia="Arial" w:hAnsi="Arial"/>
          <w:sz w:val="20"/>
          <w:szCs w:val="20"/>
        </w:rPr>
        <w:t xml:space="preserve">Balance sheet variables capture the municipality’s asset position. For reserve calculations, insurance trust and pension fund assets should be excluded as they are restricted and not available for general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Cash &amp; Securities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total_cash_and_sec</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#439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 cash and security holdings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Insurance Trust Cash</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insur_trust_cash_and_sec</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#193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Insurance trust cash (restricted; exclude from reserves)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Pension Fund Assets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emp_retire_cash_and_sec</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Employee retirement fund assets (restricted)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Unrestricted Cash</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total_cash_and_sec - insur_trust_cash_and_sec</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#439, #193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Approximation of unrestricted cash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Cash &amp; Sec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(total_cash_and_sec × deflator) / pop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#439, #892, #890 (=#912)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Per-capita; already in dataset as #912</w:t>
            </w:r>
          </w:p>
        </w:tc>
      </w:tr>
    </w:tbl>
    <w:p>
      <w:pPr>
        <w:pStyle w:val="Heading2"/>
        <w:spacing w:before="240" w:after="120"/>
      </w:pPr>
      <w:r>
        <w:rPr>
          <w:rFonts w:ascii="Arial" w:cs="Arial" w:eastAsia="Arial" w:hAnsi="Arial"/>
          <w:b/>
          <w:bCs/>
          <w:sz w:val="24"/>
          <w:szCs w:val="24"/>
        </w:rPr>
        <w:t xml:space="preserve">10.8 Employment &amp; Payroll</w:t>
      </w:r>
    </w:p>
    <w:p>
      <w:pPr>
        <w:spacing w:before="60" w:after="100" w:line="300"/>
      </w:pPr>
      <w:r>
        <w:rPr>
          <w:rFonts w:ascii="Arial" w:cs="Arial" w:eastAsia="Arial" w:hAnsi="Arial"/>
          <w:sz w:val="20"/>
          <w:szCs w:val="20"/>
        </w:rPr>
        <w:t xml:space="preserve">Employment variables proxy for labour intensity and expenditure rigidity. High payroll shares indicate less flexibility to cut spending, reinforcing fiscal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FT Employees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total_full_time_employ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#138</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 full-time equivalent employees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FT Employees (p.c.)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total_full_time_employ / (pop / 1000)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#138, #890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FTE per 1,000 residents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Total Payroll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total_payroll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 payroll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Payroll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total_payroll / direct_expenditure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#484, #62</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Payroll as share of direct spending; labour intensity</w:t>
            </w:r>
          </w:p>
        </w:tc>
      </w:tr>
    </w:tbl>
    <w:p>
      <w:pPr>
        <w:pStyle w:val="Heading2"/>
        <w:spacing w:before="240" w:after="120"/>
      </w:pPr>
      <w:r>
        <w:rPr>
          <w:rFonts w:ascii="Arial" w:cs="Arial" w:eastAsia="Arial" w:hAnsi="Arial"/>
          <w:b/>
          <w:bCs/>
          <w:sz w:val="24"/>
          <w:szCs w:val="24"/>
        </w:rPr>
        <w:t xml:space="preserve">10.9 Pension &amp; Retirement</w:t>
      </w:r>
    </w:p>
    <w:p>
      <w:pPr>
        <w:spacing w:before="60" w:after="100" w:line="300"/>
      </w:pPr>
      <w:r>
        <w:rPr>
          <w:rFonts w:ascii="Arial" w:cs="Arial" w:eastAsia="Arial" w:hAnsi="Arial"/>
          <w:sz w:val="20"/>
          <w:szCs w:val="20"/>
        </w:rPr>
        <w:t xml:space="preserve">Pension expenditure is a cash-flow proxy for long-term obligations. Census data does not include actuarial pension liabilities (NPL/UAAL), so these flow measures are the best available approximation.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Pension Expenditure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emp_ret_total_expend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Employee retirement expenditure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Pension Exp / 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emp_ret_total_expend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#93,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Pension burden as share of revenue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Pension Exp / Own-Source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emp_ret_total_expend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#93,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Pension burden relative to own revenue</w:t>
            </w:r>
          </w:p>
        </w:tc>
      </w:tr>
    </w:tbl>
    <w:p>
      <w:pPr>
        <w:pStyle w:val="Heading2"/>
        <w:spacing w:before="240" w:after="120"/>
      </w:pPr>
      <w:r>
        <w:rPr>
          <w:rFonts w:ascii="Arial" w:cs="Arial" w:eastAsia="Arial" w:hAnsi="Arial"/>
          <w:b/>
          <w:bCs/>
          <w:sz w:val="24"/>
          <w:szCs w:val="24"/>
        </w:rPr>
        <w:t xml:space="preserve">10.10 Key Ratios (Pre-Constructed)</w:t>
      </w:r>
    </w:p>
    <w:p>
      <w:pPr>
        <w:spacing w:before="60" w:after="100" w:line="300"/>
      </w:pPr>
      <w:r>
        <w:rPr>
          <w:rFonts w:ascii="Arial" w:cs="Arial" w:eastAsia="Arial" w:hAnsi="Arial"/>
          <w:sz w:val="20"/>
          <w:szCs w:val="20"/>
        </w:rPr>
        <w:t xml:space="preserve">These ratios are either already in the dataset or already used in the paper. They are listed here for completeness and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Tax-to-Revenue Ratio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total_taxes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#489, #485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used in paper; fiscal constraint proxy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Exp-to-Own-Revenue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direct_expenditure / gen_rev_own_sources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#62, #146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used in paper; spending relative to own resources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Debt-to-Revenue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total_debt_outstanding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#405, #485 (=#910)</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in dataset as #910</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IGR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total_ig_revenue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#465, #485 (=#904)</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in dataset as #904</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J70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Federal IGR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total_fed_ig_revenue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#451, #485 (=#905)</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in dataset as #905</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J71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State IGR Share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total_state_ig_revenue / total_revenue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#488, #485 (=#906)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Already in dataset as #906</w:t>
            </w:r>
          </w:p>
        </w:tc>
      </w:tr>
    </w:tbl>
    <w:p>
      <w:pPr>
        <w:spacing w:before="40" w:after="80" w:line="280"/>
      </w:pPr>
      <w:r>
        <w:rPr>
          <w:rFonts w:ascii="Arial" w:cs="Arial" w:eastAsia="Arial" w:hAnsi="Arial"/>
          <w:i/>
          <w:iCs/>
          <w:color w:val="555555"/>
          <w:sz w:val="18"/>
          <w:szCs w:val="18"/>
        </w:rPr>
        <w:t xml:space="preserve">Normalisation guidance: Per-capita variables use population (#890). Real (deflated) variables use the price deflator (#892). Variables ending in “share” or “ratio” are already scale-free and do not require further normalisation. Log transformations are recommended for level variables with high skewness (e.g., total debt, population, GDP).</w:t>
      </w:r>
    </w:p>
    <w:p>
      <w:pPr>
        <w:pStyle w:val="Heading1"/>
        <w:spacing w:before="360" w:after="200"/>
      </w:pPr>
      <w:r>
        <w:rPr>
          <w:rFonts w:ascii="Arial" w:cs="Arial" w:eastAsia="Arial" w:hAnsi="Arial"/>
          <w:b/>
          <w:bCs/>
          <w:sz w:val="28"/>
          <w:szCs w:val="28"/>
        </w:rPr>
        <w:t xml:space="preserve">11. Composite Indices &amp; Interaction-Ready Variables</w:t>
      </w:r>
    </w:p>
    <w:p>
      <w:pPr>
        <w:pStyle w:val="Heading2"/>
        <w:spacing w:before="240" w:after="120"/>
      </w:pPr>
      <w:r>
        <w:rPr>
          <w:rFonts w:ascii="Arial" w:cs="Arial" w:eastAsia="Arial" w:hAnsi="Arial"/>
          <w:b/>
          <w:bCs/>
          <w:sz w:val="24"/>
          <w:szCs w:val="24"/>
        </w:rPr>
        <w:t xml:space="preserve">11.1 Composite Fiscal Stress Indices</w:t>
      </w:r>
    </w:p>
    <w:p>
      <w:pPr>
        <w:spacing w:before="60" w:after="100" w:line="300"/>
      </w:pPr>
      <w:r>
        <w:rPr>
          <w:rFonts w:ascii="Arial" w:cs="Arial" w:eastAsia="Arial" w:hAnsi="Arial"/>
          <w:sz w:val="20"/>
          <w:szCs w:val="20"/>
        </w:rPr>
        <w:t xml:space="preserve">Single-variable measures are subject to measurement error. Composite indices combine multiple dimensions of fiscal weakness into a single latent measure, reducing noise and better capturing the overall fiscal condition that rating agencies evaluate holistically.</w:t>
      </w:r>
    </w:p>
    <w:p>
      <w:pPr>
        <w:pStyle w:val="Heading3"/>
        <w:spacing w:before="200" w:after="100"/>
      </w:pPr>
      <w:r>
        <w:rPr>
          <w:rFonts w:ascii="Arial" w:cs="Arial" w:eastAsia="Arial" w:hAnsi="Arial"/>
          <w:b/>
          <w:bCs/>
          <w:i/>
          <w:iCs/>
          <w:sz w:val="22"/>
          <w:szCs w:val="22"/>
        </w:rPr>
        <w:t xml:space="preserve">H1. Standardised Additive Index</w:t>
      </w:r>
    </w:p>
    <w:p>
      <w:pPr>
        <w:spacing w:before="60" w:after="100" w:line="300"/>
      </w:pPr>
      <w:r>
        <w:rPr>
          <w:rFonts w:ascii="Arial" w:cs="Arial" w:eastAsia="Arial" w:hAnsi="Arial"/>
          <w:sz w:val="20"/>
          <w:szCs w:val="20"/>
        </w:rPr>
        <w:t xml:space="preserve">Standardise within-year (z-scores) each of: debt_service_burden (E1), debt_affordability (E2), inverted reserve_ratio (−B1), inverted operating_balance, and debt_to_revenue (#910). All coded so higher = more fiscal stress. Take the mean of available components, requiring at least 3 non-missing.</w:t>
      </w:r>
    </w:p>
    <w:p>
      <w:pPr>
        <w:spacing w:before="60" w:after="100" w:line="300"/>
      </w:pPr>
      <w:r>
        <w:rPr>
          <w:rFonts w:ascii="Consolas" w:cs="Consolas" w:eastAsia="Consolas" w:hAnsi="Consolas"/>
          <w:sz w:val="18"/>
          <w:szCs w:val="18"/>
        </w:rPr>
        <w:t>Operating balance = (general_revenue − general_expenditure) / general_revenue</w:t>
      </w:r>
      <w:r>
        <w:rPr>
          <w:rFonts w:ascii="Arial" w:cs="Arial" w:eastAsia="Arial" w:hAnsi="Arial"/>
          <w:color w:val="666666"/>
          <w:sz w:val="18"/>
          <w:szCs w:val="18"/>
        </w:rPr>
        <w:t xml:space="preserve">  [#161, #153]</w:t>
      </w:r>
    </w:p>
    <w:p>
      <w:pPr>
        <w:pStyle w:val="Heading3"/>
        <w:spacing w:before="200" w:after="100"/>
      </w:pPr>
      <w:r>
        <w:rPr>
          <w:rFonts w:ascii="Arial" w:cs="Arial" w:eastAsia="Arial" w:hAnsi="Arial"/>
          <w:b/>
          <w:bCs/>
          <w:i/>
          <w:iCs/>
          <w:sz w:val="22"/>
          <w:szCs w:val="22"/>
        </w:rPr>
        <w:t xml:space="preserve">H2. PCA-Based Index</w:t>
      </w:r>
    </w:p>
    <w:p>
      <w:pPr>
        <w:spacing w:before="60" w:after="100" w:line="300"/>
      </w:pPr>
      <w:r>
        <w:rPr>
          <w:rFonts w:ascii="Arial" w:cs="Arial" w:eastAsia="Arial" w:hAnsi="Arial"/>
          <w:sz w:val="20"/>
          <w:szCs w:val="20"/>
        </w:rPr>
        <w:t xml:space="preserve">Extract the first principal component from the same five standardised inputs. Print loadings and variance explained for interpretation. Expected: PC1 loads positively on debt measures and negatively on reserves/operating balance, capturing the single latent “fiscal stress” dimension.</w:t>
      </w:r>
    </w:p>
    <w:p>
      <w:pPr>
        <w:pStyle w:val="Heading3"/>
        <w:spacing w:before="200" w:after="100"/>
      </w:pPr>
      <w:r>
        <w:rPr>
          <w:rFonts w:ascii="Arial" w:cs="Arial" w:eastAsia="Arial" w:hAnsi="Arial"/>
          <w:b/>
          <w:bCs/>
          <w:i/>
          <w:iCs/>
          <w:sz w:val="22"/>
          <w:szCs w:val="22"/>
        </w:rPr>
        <w:t xml:space="preserve">H3. Rating-Agency-Aligned Composite (Broad)</w:t>
      </w:r>
    </w:p>
    <w:p>
      <w:pPr>
        <w:spacing w:before="60" w:after="100" w:line="300"/>
      </w:pPr>
      <w:r>
        <w:rPr>
          <w:rFonts w:ascii="Arial" w:cs="Arial" w:eastAsia="Arial" w:hAnsi="Arial"/>
          <w:sz w:val="20"/>
          <w:szCs w:val="20"/>
        </w:rPr>
        <w:t xml:space="preserve">Extends H1 to cover all six pillars where feasible. Standardise: debt_service_burden (E1), inverted reserve_ratio (B1), revenue_HHI (C1), igr_share (D1), expenditure_rigidity (A4), and tel_stringency_normalised (F10). Take the mean of z-scores, all coded so higher = more constrained. This broader index aligns most closely with how agencies actually evaluate creditworthiness across multiple dimensions.</w:t>
      </w:r>
    </w:p>
    <w:p>
      <w:pPr>
        <w:pStyle w:val="Heading2"/>
        <w:spacing w:before="240" w:after="120"/>
      </w:pPr>
      <w:r>
        <w:rPr>
          <w:rFonts w:ascii="Arial" w:cs="Arial" w:eastAsia="Arial" w:hAnsi="Arial"/>
          <w:b/>
          <w:bCs/>
          <w:sz w:val="24"/>
          <w:szCs w:val="24"/>
        </w:rPr>
        <w:t xml:space="preserve">11.2 Binary and Categorical Stress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100"/>
        <w:gridCol w:w="1860"/>
      </w:tblGrid>
      <w:tr>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Formula / Definition</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Dataset Sources</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High Fiscal Stress (binary)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1 if fiscal_stress_index &gt; 75th percentile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H1</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For interaction models with partisanship</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H5</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Fiscal Stress Tercile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ntile(fiscal_stress_index, 3)</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Derived from H1</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Captures non-linear effects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Operating Deficit (binary)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1 if (general_revenue − general_expenditure) &lt; 0</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#161, #153</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Simple deficit flag</w:t>
            </w:r>
          </w:p>
        </w:tc>
      </w:tr>
      <w:tr>
        <w:tc>
          <w:tcPr>
            <w:tcW w:type="dxa" w:w="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H7</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b/>
                <w:bCs/>
                <w:sz w:val="18"/>
                <w:szCs w:val="18"/>
              </w:rPr>
              <w:t xml:space="preserve">Operating Balance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(general_revenue − general_expenditure) / general_revenue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#161, #153</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 operating surplus/deficit ratio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Operating Balance (3yr avg)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Rolling 3yr mean of H7</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Derived from H7</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Persistent deficits matter more than one-off shortfalls</w:t>
            </w:r>
          </w:p>
        </w:tc>
      </w:tr>
    </w:tbl>
    <w:p>
      <w:pPr>
        <w:pStyle w:val="Heading2"/>
        <w:spacing w:before="240" w:after="120"/>
      </w:pPr>
      <w:r>
        <w:rPr>
          <w:rFonts w:ascii="Arial" w:cs="Arial" w:eastAsia="Arial" w:hAnsi="Arial"/>
          <w:b/>
          <w:bCs/>
          <w:sz w:val="24"/>
          <w:szCs w:val="24"/>
        </w:rPr>
        <w:t xml:space="preserve">11.3 Lagged Variables</w:t>
      </w:r>
    </w:p>
    <w:p>
      <w:pPr>
        <w:spacing w:before="60" w:after="100" w:line="300"/>
      </w:pPr>
      <w:r>
        <w:rPr>
          <w:rFonts w:ascii="Arial" w:cs="Arial" w:eastAsia="Arial" w:hAnsi="Arial"/>
          <w:sz w:val="20"/>
          <w:szCs w:val="20"/>
        </w:rPr>
        <w:t xml:space="preserve">All primary measures should be lagged one year to reflect the length of the bond issuance process (Faraglia et al., 2019). Key variables to lag: debt_service_burden (E1), debt_affordability (E2), reserve_ratio (B1), operating_balance (H7), fiscal_stress_index (H1), and their interaction terms with partisanship.</w:t>
      </w:r>
    </w:p>
    <w:p>
      <w:r>
        <w:br w:type="page"/>
      </w:r>
    </w:p>
    <w:p>
      <w:pPr>
        <w:pStyle w:val="Heading1"/>
        <w:spacing w:before="360" w:after="200"/>
      </w:pPr>
      <w:r>
        <w:rPr>
          <w:rFonts w:ascii="Arial" w:cs="Arial" w:eastAsia="Arial" w:hAnsi="Arial"/>
          <w:b/>
          <w:bCs/>
          <w:sz w:val="28"/>
          <w:szCs w:val="28"/>
        </w:rPr>
        <w:t xml:space="preserve">12. Variables Not Feasible from Current Data</w:t>
      </w:r>
    </w:p>
    <w:p>
      <w:pPr>
        <w:spacing w:before="60" w:after="100" w:line="300"/>
      </w:pPr>
      <w:r>
        <w:rPr>
          <w:rFonts w:ascii="Arial" w:cs="Arial" w:eastAsia="Arial" w:hAnsi="Arial"/>
          <w:sz w:val="20"/>
          <w:szCs w:val="20"/>
        </w:rPr>
        <w:t xml:space="preserve">The following measures from the 18-variable operationalization framework cannot be constructed from the existing Census of Governments dataset. Each requires external data sources as specified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Measure</w:t>
            </w:r>
          </w:p>
        </w:tc>
        <w:tc>
          <w:tcPr>
            <w:tcW w:type="dxa" w:w="343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Not Feasible</w:t>
            </w:r>
          </w:p>
        </w:tc>
        <w:tc>
          <w:tcPr>
            <w:tcW w:type="dxa" w:w="343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External Data Required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Net Pension Liability (NPL)</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Census reports cash flows, not balance sheet liabilities under GASB 68</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CAFR/ACFR government-wide statements or Public Plans Database</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OPEB Liability</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Same limitation — GASB 75 liabilities not in Census</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CAFR GASB 75 schedules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Actuarial Funded Ratio</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Requires actuarial accrued liability, not available in Census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Plan actuarial reports; Public Plans Database</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UAAL / Revenues</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Requires unfunded actuarial accrued liability</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Same as above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Unrestricted Net Position</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Government-wide GAAP concept not reported in Census</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CAFR government-wide Statement of Net Position</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Levy Gap</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Requires statutory allowable levy growth rates matched to actual levy growth</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State comptroller data (e.g., NYS Comptroller); statute coding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Reserve Policy Indicator</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Qualitative — whether city has formal minimum reserve policy</w:t>
            </w:r>
          </w:p>
        </w:tc>
        <w:tc>
          <w:tcPr>
            <w:tcW w:type="dxa" w:w="34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CAFR policy statements; budget documents; hand-coded</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Balanced-Budget Requirement</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Legal/statutory indicator not in fiscal data</w:t>
            </w:r>
          </w:p>
        </w:tc>
        <w:tc>
          <w:tcPr>
            <w:tcW w:type="dxa" w:w="343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State statute coding; NASBO/GFOA summaries (partially covered by TELs)</w:t>
            </w:r>
          </w:p>
        </w:tc>
      </w:tr>
    </w:tbl>
    <w:p>
      <w:pPr>
        <w:spacing w:before="40" w:after="80" w:line="280"/>
      </w:pPr>
      <w:r>
        <w:rPr>
          <w:rFonts w:ascii="Arial" w:cs="Arial" w:eastAsia="Arial" w:hAnsi="Arial"/>
          <w:i/>
          <w:iCs/>
          <w:color w:val="555555"/>
          <w:sz w:val="18"/>
          <w:szCs w:val="18"/>
        </w:rPr>
        <w:t xml:space="preserve">If any of these variables are pursued in future work, the most impactful additions would be (1) net pension liability / UAAL from the Public Plans Database, which would allow construction of the proper long-term liabilities/revenues ratio, and (2) unrestricted net position from CAFRs, which would provide the accrual-basis solvency measure that rating agencies increasingly weight.</w:t>
      </w:r>
    </w:p>
    <w:p>
      <w:r>
        <w:br w:type="page"/>
      </w:r>
    </w:p>
    <w:p>
      <w:pPr>
        <w:pStyle w:val="Heading1"/>
        <w:spacing w:before="360" w:after="200"/>
      </w:pPr>
      <w:r>
        <w:rPr>
          <w:rFonts w:ascii="Arial" w:cs="Arial" w:eastAsia="Arial" w:hAnsi="Arial"/>
          <w:b/>
          <w:bCs/>
          <w:sz w:val="28"/>
          <w:szCs w:val="28"/>
        </w:rPr>
        <w:t xml:space="preserve">13. Recommended Model Specifications</w:t>
      </w:r>
    </w:p>
    <w:p>
      <w:pPr>
        <w:spacing w:before="60" w:after="100" w:line="300"/>
      </w:pPr>
      <w:r>
        <w:rPr>
          <w:rFonts w:ascii="Arial" w:cs="Arial" w:eastAsia="Arial" w:hAnsi="Arial"/>
          <w:sz w:val="20"/>
          <w:szCs w:val="20"/>
        </w:rPr>
        <w:t xml:space="preserve">The following model hierarchy is recommended for replacing TaxToRev in the Rep_Mayor interaction, ordered by theoretical proximity to the capital-market signalling mechanism: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Model</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Fiscal Constraint Variable</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b/>
                <w:bCs/>
                <w:sz w:val="18"/>
                <w:szCs w:val="18"/>
              </w:rPr>
              <w:t xml:space="preserve">Primary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Issued ~ Rep_Mayor * debt_service_burden + controls + RE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E1: DSB</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Closest to what agencies weight; directly captures the capital-market signal</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Robustness 1</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Issued ~ Rep_Mayor * fiscal_stress_index + controls + RE</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H1: Composite</w:t>
            </w:r>
          </w:p>
        </w:tc>
        <w:tc>
          <w:tcPr>
            <w:tcW w:type="dxa" w:w="2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Multi-dimensional; reduces single-variable measurement error</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Robustness 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Issued ~ Rep_Mayor * reserve_ratio + controls + RE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B1: Reserve Ratio (inv.)</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Leading indicator of credit deterioration; captures liquidity channel</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Robustness 3</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Issued ~ Rep_Mayor * tel_stringency * tax_effort_pc + controls</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F12: TEL × Tax Effort</w:t>
            </w:r>
          </w:p>
        </w:tc>
        <w:tc>
          <w:tcPr>
            <w:tcW w:type="dxa" w:w="2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Tests the political-legal constraint channel specifically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Consolas" w:cs="Consolas" w:eastAsia="Consolas" w:hAnsi="Consolas"/>
                <w:sz w:val="16"/>
                <w:szCs w:val="16"/>
              </w:rPr>
              <w:t xml:space="preserve">Issued ~ Rep_Mayor * days_cash + controls + RE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B4: Days Cash</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Most concrete “need for market access” measure</w:t>
            </w:r>
          </w:p>
        </w:tc>
      </w:tr>
      <w:tr>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Dynamic</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Consolas" w:cs="Consolas" w:eastAsia="Consolas" w:hAnsi="Consolas"/>
                <w:sz w:val="16"/>
                <w:szCs w:val="16"/>
              </w:rPr>
              <w:t xml:space="preserve">Issued ~ Rep_Mayor * dsb_worsening + controls + RE</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E11: DSB Worsening</w:t>
            </w:r>
          </w:p>
        </w:tc>
        <w:tc>
          <w:tcPr>
            <w:tcW w:type="dxa" w:w="2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Tests deterioration channel: worsening conditions trigger labelling</w:t>
            </w:r>
          </w:p>
        </w:tc>
      </w:tr>
    </w:tbl>
    <w:p>
      <w:pPr>
        <w:spacing w:before="60" w:after="100" w:line="300"/>
      </w:pPr>
      <w:r>
        <w:rPr>
          <w:rFonts w:ascii="Arial" w:cs="Arial" w:eastAsia="Arial" w:hAnsi="Arial"/>
          <w:sz w:val="20"/>
          <w:szCs w:val="20"/>
        </w:rPr>
        <w:t xml:space="preserve"/>
      </w:r>
    </w:p>
    <w:p>
      <w:pPr>
        <w:spacing w:before="60" w:after="100" w:line="300"/>
      </w:pPr>
      <w:r>
        <w:rPr>
          <w:rFonts w:ascii="Arial" w:cs="Arial" w:eastAsia="Arial" w:hAnsi="Arial"/>
          <w:b/>
          <w:bCs/>
          <w:sz w:val="20"/>
          <w:szCs w:val="20"/>
        </w:rPr>
        <w:t xml:space="preserve">Additional controls to include alongside the new fiscal constraint variable: </w:t>
      </w:r>
      <w:r>
        <w:rPr>
          <w:rFonts w:ascii="Arial" w:cs="Arial" w:eastAsia="Arial" w:hAnsi="Arial"/>
          <w:sz w:val="20"/>
          <w:szCs w:val="20"/>
        </w:rPr>
        <w:t xml:space="preserve">own_source_rev_pc (#911), log population, log per-capita GDP, labour force participation rate, log total debt, expenditure-to-own-revenue ratio. County-level controls: county GDP per capita, NRI climate risk, log county emissions, Trump vote share. All continuous variables lagged one year and scaled.</w:t>
      </w:r>
    </w:p>
    <w:p>
      <w:r>
        <w:br w:type="page"/>
      </w:r>
    </w:p>
    <w:p>
      <w:pPr>
        <w:pStyle w:val="Heading1"/>
        <w:spacing w:before="360" w:after="200"/>
      </w:pPr>
      <w:r>
        <w:rPr>
          <w:rFonts w:ascii="Arial" w:cs="Arial" w:eastAsia="Arial" w:hAnsi="Arial"/>
          <w:b/>
          <w:bCs/>
          <w:sz w:val="28"/>
          <w:szCs w:val="28"/>
        </w:rPr>
        <w:t xml:space="preserve">14. Complete Variable Summary</w:t>
      </w:r>
    </w:p>
    <w:p>
      <w:pPr>
        <w:spacing w:before="60" w:after="100" w:line="300"/>
      </w:pPr>
      <w:r>
        <w:rPr>
          <w:rFonts w:ascii="Arial" w:cs="Arial" w:eastAsia="Arial" w:hAnsi="Arial"/>
          <w:sz w:val="20"/>
          <w:szCs w:val="20"/>
        </w:rPr>
        <w:t xml:space="preserve">The table below provides a consolidated reference of all constructable variables, their pillar mapping, and the expected direction of effect on green bond issuance probability.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1600"/>
        <w:gridCol w:w="1200"/>
        <w:gridCol w:w="14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 Name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Pillar</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Direction</w:t>
            </w:r>
          </w:p>
        </w:tc>
        <w:tc>
          <w:tcPr>
            <w:tcW w:type="dxa" w:w="14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tax_effort_pc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Budgetary Flex.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A2</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tax_effort_pc_3yr</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Budgetary Flex.</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Smoothed</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tax_to_rev</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Budgetary Flex.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A4</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expenditure_rigidity</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Budgetary Flex.</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budget_flexibility_squeeze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Budgetary Flex.</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Composite</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B1</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reserve_ratio</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Primary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reserve_months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Interpretation</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B3</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low_reserves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Binary</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days_cash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B5</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liquidity_tier</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Categorical</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Descriptive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reserve_change_1yr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Dynamic</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B8</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reserve_declining</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Binary</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Dynamic</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B9</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reserve_decline_streak</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Count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Dynamic</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B10</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reserve_ratio_3yr</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Liquidity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Smoothed</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revenue_hhi</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Revenue Frmwk.</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Robustness</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C2</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property_tax_dependence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Revenue Frmwk.</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Robustness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tax_revenue_volatility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Revenue Frmwk.</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C4</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own_source_rev_share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Revenue Frmwk.</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igr_share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Aid Dependence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In dataset</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D2</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fed_igr_share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Aid Dependence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In dataset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state_igr_share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Aid Dependence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In dataset</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D4</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aid_volatility</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Aid Dependence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debt_service_burden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C0000"/>
                <w:sz w:val="18"/>
                <w:szCs w:val="18"/>
              </w:rPr>
              <w:t xml:space="preserve">PRIMARY</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E2</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debt_affordability</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Primary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debt_to_revenue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In dataset</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E5</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pension_expenditure_burden</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Proxy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pension_funded_ratio_proxy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Proxy</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E7</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combined_liability_burden</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Approximate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E8</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net_borrowing_intensity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E9</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dsb_change_1yr</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Dynamic</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E11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dsb_worsening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Long-term Liab.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Binary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Dynamic</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F1–F11</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tel_* variables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Legal/Instit.</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Various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In dataset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F12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tel_x_tax_effort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Legal/Instit.</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Interaction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Mechanism</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G1</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go_bond_share_outstanding</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Market Structure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Exploratory</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go_bond_share_issuance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Market Structure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Exploratory</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H1</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fiscal_stress_index</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Composite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Robustness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fiscal_stress_pca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Robustness</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H3</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rating_agency_composite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Composite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Robustness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high_fiscal_stress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Binary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Interaction</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H7</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Consolas" w:cs="Consolas" w:eastAsia="Consolas" w:hAnsi="Consolas"/>
                <w:sz w:val="16"/>
                <w:szCs w:val="16"/>
              </w:rPr>
              <w:t xml:space="preserve">operating_balance</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Composite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18"/>
                <w:szCs w:val="18"/>
              </w:rPr>
              <w:t xml:space="preserve">Component</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H8</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6"/>
                <w:szCs w:val="16"/>
              </w:rPr>
              <w:t xml:space="preserve">operating_balance_3yr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1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18"/>
                <w:szCs w:val="18"/>
              </w:rPr>
              <w:t xml:space="preserve">Smoothed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revenue_autonomy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Primary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tax_autonomy_ratio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Primary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tax_to_own_source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Robustness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charges_to_own_source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property_tax_share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Robustness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sales_tax_share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income_tax_share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tax_hhi</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Robustness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vfi</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Primary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fiscal_self_sufficiency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Robustness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expenditure_gap_pc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fed_grant_share_of_grants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state_grant_share_of_grants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local_ig_share_of_grants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ig_exp_share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direct_exp_share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Exploratory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short_term_debt_share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debt_service_gen_rev</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Robustness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I19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tel_x_revenue_autonomy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Interaction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I20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tel_x_vfi</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Fiscal Fed.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Interaction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total_revenue_pc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general_revenue_pc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total_taxes_pc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property_tax_pc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own_source_rev_pc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J15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total_ig_revenue_pc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total_expenditure_pc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direct_expenditure_pc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cap_outlay_pc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J28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cap_outlay_share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highways_expend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Pipeline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sewerage_expend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Pipeline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J36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parks_rec_expend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Pipeline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total_debt_pc</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J47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go_bond_share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net_borrowing_ratio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go_issuance_share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Mechanism</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J57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unrestricted_cash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Control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payroll_share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Rigidity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J64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pension_burden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Std Controls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Rigidity</w:t>
            </w:r>
          </w:p>
        </w:tc>
      </w:tr>
    </w:tbl>
    <w:p>
      <w:pPr>
        <w:spacing w:before="60" w:after="100" w:line="300"/>
      </w:pPr>
      <w:r>
        <w:rPr>
          <w:rFonts w:ascii="Arial" w:cs="Arial" w:eastAsia="Arial" w:hAnsi="Arial"/>
          <w:sz w:val="20"/>
          <w:szCs w:val="20"/>
        </w:rPr>
        <w:t xml:space="preserve"/>
      </w:r>
    </w:p>
    <w:p>
      <w:pPr>
        <w:spacing w:before="40" w:after="80" w:line="280"/>
      </w:pPr>
      <w:r>
        <w:rPr>
          <w:rFonts w:ascii="Arial" w:cs="Arial" w:eastAsia="Arial" w:hAnsi="Arial"/>
          <w:i/>
          <w:iCs/>
          <w:color w:val="555555"/>
          <w:sz w:val="18"/>
          <w:szCs w:val="18"/>
        </w:rPr>
        <w:t xml:space="preserve">Direction column indicates expected effect on green bond issuance probability. “+” = higher values of the variable are expected to increase issuance; “−” = higher values decrease issuance (i.e., the variable captures the inverse of stress); “?” = direction is theoretically ambiguous and should be explored empirically.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Fiscal Constraint Variables — Construction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E8E"/>
      <w:sz w:val="24"/>
      <w:szCs w:val="24"/>
    </w:rPr>
  </w:style>
  <w:style w:type="paragraph" w:styleId="Heading3">
    <w:name w:val="Heading 3"/>
    <w:basedOn w:val="Normal"/>
    <w:next w:val="Normal"/>
    <w:qFormat/>
    <w:pPr>
      <w:spacing w:before="200" w:after="100"/>
      <w:outlineLvl w:val="2"/>
    </w:pPr>
    <w:rPr>
      <w:rFonts w:ascii="Arial" w:cs="Arial" w:eastAsia="Arial" w:hAnsi="Arial"/>
      <w:b/>
      <w:bCs/>
      <w:i/>
      <w:i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2026-02-02T19:12:33.181Z</dcterms:created>
  <dcterms:modified xsi:type="dcterms:W3CDTF">2026-02-02T19:12:33.182Z</dcterms:modified>
</cp:coreProperties>
</file>

<file path=docProps/custom.xml><?xml version="1.0" encoding="utf-8"?>
<Properties xmlns="http://schemas.openxmlformats.org/officeDocument/2006/custom-properties" xmlns:vt="http://schemas.openxmlformats.org/officeDocument/2006/docPropsVTypes"/>
</file>