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600CC7" w14:textId="77777777" w:rsidR="007868E0" w:rsidRDefault="00000000">
      <w:pPr>
        <w:spacing w:after="80"/>
      </w:pPr>
      <w:r>
        <w:rPr>
          <w:b/>
          <w:bCs/>
          <w:color w:val="888888"/>
          <w:sz w:val="18"/>
          <w:szCs w:val="18"/>
        </w:rPr>
        <w:t>RESEARCH MEMO</w:t>
      </w:r>
    </w:p>
    <w:p w14:paraId="20D6E8F7" w14:textId="77777777" w:rsidR="007868E0" w:rsidRDefault="00000000">
      <w:pPr>
        <w:pBdr>
          <w:bottom w:val="single" w:sz="12" w:space="6" w:color="1F3864"/>
        </w:pBdr>
        <w:spacing w:after="120"/>
      </w:pPr>
      <w:r>
        <w:rPr>
          <w:b/>
          <w:bCs/>
          <w:color w:val="1F3864"/>
          <w:sz w:val="36"/>
          <w:szCs w:val="36"/>
        </w:rPr>
        <w:t>Three-Table Empirical Strategy: “When Do Red and Blue Go Green?”</w:t>
      </w:r>
    </w:p>
    <w:p w14:paraId="6FB407D2" w14:textId="77777777" w:rsidR="007868E0" w:rsidRDefault="007868E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80"/>
        <w:gridCol w:w="1600"/>
        <w:gridCol w:w="2480"/>
      </w:tblGrid>
      <w:tr w:rsidR="007868E0" w14:paraId="6AAC8396"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F0F3F9"/>
            <w:tcMar>
              <w:top w:w="80" w:type="dxa"/>
              <w:left w:w="120" w:type="dxa"/>
              <w:bottom w:w="80" w:type="dxa"/>
              <w:right w:w="80" w:type="dxa"/>
            </w:tcMar>
          </w:tcPr>
          <w:p w14:paraId="689CF70D" w14:textId="77777777" w:rsidR="007868E0" w:rsidRDefault="00000000">
            <w:r>
              <w:rPr>
                <w:b/>
                <w:bCs/>
                <w:color w:val="1F3864"/>
                <w:sz w:val="20"/>
                <w:szCs w:val="20"/>
              </w:rPr>
              <w:t>Author</w:t>
            </w:r>
          </w:p>
        </w:tc>
        <w:tc>
          <w:tcPr>
            <w:tcW w:w="3680" w:type="dxa"/>
            <w:tcBorders>
              <w:top w:val="none" w:sz="0" w:space="0" w:color="FFFFFF"/>
              <w:left w:val="none" w:sz="0" w:space="0" w:color="FFFFFF"/>
              <w:bottom w:val="none" w:sz="0" w:space="0" w:color="FFFFFF"/>
              <w:right w:val="none" w:sz="0" w:space="0" w:color="FFFFFF"/>
            </w:tcBorders>
            <w:shd w:val="clear" w:color="auto" w:fill="F0F3F9"/>
            <w:tcMar>
              <w:top w:w="80" w:type="dxa"/>
              <w:left w:w="80" w:type="dxa"/>
              <w:bottom w:w="80" w:type="dxa"/>
              <w:right w:w="120" w:type="dxa"/>
            </w:tcMar>
          </w:tcPr>
          <w:p w14:paraId="68BE9FFC" w14:textId="77777777" w:rsidR="007868E0" w:rsidRDefault="00000000">
            <w:r>
              <w:rPr>
                <w:sz w:val="20"/>
                <w:szCs w:val="20"/>
              </w:rPr>
              <w:t>Maurice Hirt, DPhil Candidate, Oxford DPIR</w:t>
            </w:r>
          </w:p>
        </w:tc>
        <w:tc>
          <w:tcPr>
            <w:tcW w:w="1600" w:type="dxa"/>
            <w:tcBorders>
              <w:top w:val="none" w:sz="0" w:space="0" w:color="FFFFFF"/>
              <w:left w:val="none" w:sz="0" w:space="0" w:color="FFFFFF"/>
              <w:bottom w:val="none" w:sz="0" w:space="0" w:color="FFFFFF"/>
              <w:right w:val="none" w:sz="0" w:space="0" w:color="FFFFFF"/>
            </w:tcBorders>
            <w:shd w:val="clear" w:color="auto" w:fill="E4EAF5"/>
            <w:tcMar>
              <w:top w:w="80" w:type="dxa"/>
              <w:left w:w="120" w:type="dxa"/>
              <w:bottom w:w="80" w:type="dxa"/>
              <w:right w:w="80" w:type="dxa"/>
            </w:tcMar>
          </w:tcPr>
          <w:p w14:paraId="740C86D2" w14:textId="77777777" w:rsidR="007868E0" w:rsidRDefault="00000000">
            <w:r>
              <w:rPr>
                <w:b/>
                <w:bCs/>
                <w:color w:val="1F3864"/>
                <w:sz w:val="20"/>
                <w:szCs w:val="20"/>
              </w:rPr>
              <w:t>Date</w:t>
            </w:r>
          </w:p>
        </w:tc>
        <w:tc>
          <w:tcPr>
            <w:tcW w:w="2480" w:type="dxa"/>
            <w:tcBorders>
              <w:top w:val="none" w:sz="0" w:space="0" w:color="FFFFFF"/>
              <w:left w:val="none" w:sz="0" w:space="0" w:color="FFFFFF"/>
              <w:bottom w:val="none" w:sz="0" w:space="0" w:color="FFFFFF"/>
              <w:right w:val="none" w:sz="0" w:space="0" w:color="FFFFFF"/>
            </w:tcBorders>
            <w:shd w:val="clear" w:color="auto" w:fill="E4EAF5"/>
            <w:tcMar>
              <w:top w:w="80" w:type="dxa"/>
              <w:left w:w="80" w:type="dxa"/>
              <w:bottom w:w="80" w:type="dxa"/>
              <w:right w:w="120" w:type="dxa"/>
            </w:tcMar>
          </w:tcPr>
          <w:p w14:paraId="1F9D254B" w14:textId="77777777" w:rsidR="007868E0" w:rsidRDefault="00000000">
            <w:r>
              <w:rPr>
                <w:sz w:val="20"/>
                <w:szCs w:val="20"/>
              </w:rPr>
              <w:t>April 2026</w:t>
            </w:r>
          </w:p>
        </w:tc>
      </w:tr>
      <w:tr w:rsidR="007868E0" w14:paraId="5E48D4E0"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F0F3F9"/>
            <w:tcMar>
              <w:top w:w="80" w:type="dxa"/>
              <w:left w:w="120" w:type="dxa"/>
              <w:bottom w:w="80" w:type="dxa"/>
              <w:right w:w="80" w:type="dxa"/>
            </w:tcMar>
          </w:tcPr>
          <w:p w14:paraId="77410D6C" w14:textId="77777777" w:rsidR="007868E0" w:rsidRDefault="00000000">
            <w:r>
              <w:rPr>
                <w:b/>
                <w:bCs/>
                <w:color w:val="1F3864"/>
                <w:sz w:val="20"/>
                <w:szCs w:val="20"/>
              </w:rPr>
              <w:t>Project</w:t>
            </w:r>
          </w:p>
        </w:tc>
        <w:tc>
          <w:tcPr>
            <w:tcW w:w="3680" w:type="dxa"/>
            <w:tcBorders>
              <w:top w:val="none" w:sz="0" w:space="0" w:color="FFFFFF"/>
              <w:left w:val="none" w:sz="0" w:space="0" w:color="FFFFFF"/>
              <w:bottom w:val="none" w:sz="0" w:space="0" w:color="FFFFFF"/>
              <w:right w:val="none" w:sz="0" w:space="0" w:color="FFFFFF"/>
            </w:tcBorders>
            <w:shd w:val="clear" w:color="auto" w:fill="F0F3F9"/>
            <w:tcMar>
              <w:top w:w="80" w:type="dxa"/>
              <w:left w:w="80" w:type="dxa"/>
              <w:bottom w:w="80" w:type="dxa"/>
              <w:right w:w="120" w:type="dxa"/>
            </w:tcMar>
          </w:tcPr>
          <w:p w14:paraId="15ACD2B6" w14:textId="77777777" w:rsidR="007868E0" w:rsidRDefault="00000000">
            <w:r>
              <w:rPr>
                <w:sz w:val="20"/>
                <w:szCs w:val="20"/>
              </w:rPr>
              <w:t>Green Bond Paper — US Municipal Green Bond Issuance &amp; Mayoral Partisanship</w:t>
            </w:r>
          </w:p>
        </w:tc>
        <w:tc>
          <w:tcPr>
            <w:tcW w:w="1600" w:type="dxa"/>
            <w:tcBorders>
              <w:top w:val="none" w:sz="0" w:space="0" w:color="FFFFFF"/>
              <w:left w:val="none" w:sz="0" w:space="0" w:color="FFFFFF"/>
              <w:bottom w:val="none" w:sz="0" w:space="0" w:color="FFFFFF"/>
              <w:right w:val="none" w:sz="0" w:space="0" w:color="FFFFFF"/>
            </w:tcBorders>
            <w:shd w:val="clear" w:color="auto" w:fill="E4EAF5"/>
            <w:tcMar>
              <w:top w:w="80" w:type="dxa"/>
              <w:left w:w="120" w:type="dxa"/>
              <w:bottom w:w="80" w:type="dxa"/>
              <w:right w:w="80" w:type="dxa"/>
            </w:tcMar>
          </w:tcPr>
          <w:p w14:paraId="221C47F1" w14:textId="77777777" w:rsidR="007868E0" w:rsidRDefault="00000000">
            <w:r>
              <w:rPr>
                <w:b/>
                <w:bCs/>
                <w:color w:val="1F3864"/>
                <w:sz w:val="20"/>
                <w:szCs w:val="20"/>
              </w:rPr>
              <w:t>Target</w:t>
            </w:r>
          </w:p>
        </w:tc>
        <w:tc>
          <w:tcPr>
            <w:tcW w:w="2480" w:type="dxa"/>
            <w:tcBorders>
              <w:top w:val="none" w:sz="0" w:space="0" w:color="FFFFFF"/>
              <w:left w:val="none" w:sz="0" w:space="0" w:color="FFFFFF"/>
              <w:bottom w:val="none" w:sz="0" w:space="0" w:color="FFFFFF"/>
              <w:right w:val="none" w:sz="0" w:space="0" w:color="FFFFFF"/>
            </w:tcBorders>
            <w:shd w:val="clear" w:color="auto" w:fill="E4EAF5"/>
            <w:tcMar>
              <w:top w:w="80" w:type="dxa"/>
              <w:left w:w="80" w:type="dxa"/>
              <w:bottom w:w="80" w:type="dxa"/>
              <w:right w:w="120" w:type="dxa"/>
            </w:tcMar>
          </w:tcPr>
          <w:p w14:paraId="3200A864" w14:textId="77777777" w:rsidR="007868E0" w:rsidRDefault="00000000">
            <w:r>
              <w:rPr>
                <w:sz w:val="20"/>
                <w:szCs w:val="20"/>
              </w:rPr>
              <w:t>Public Choice / JPIPE; EPSA Belfast June 2026</w:t>
            </w:r>
          </w:p>
        </w:tc>
      </w:tr>
    </w:tbl>
    <w:p w14:paraId="2B1B7955" w14:textId="77777777" w:rsidR="007868E0" w:rsidRDefault="007868E0">
      <w:pPr>
        <w:spacing w:after="200"/>
      </w:pPr>
    </w:p>
    <w:p w14:paraId="24F40A88" w14:textId="77777777" w:rsidR="007868E0" w:rsidRDefault="00000000">
      <w:pPr>
        <w:pStyle w:val="Heading1"/>
        <w:pBdr>
          <w:bottom w:val="single" w:sz="8" w:space="4" w:color="1F3864"/>
        </w:pBdr>
      </w:pPr>
      <w:r>
        <w:t>Context for Review</w:t>
      </w:r>
    </w:p>
    <w:p w14:paraId="175C4903" w14:textId="77777777" w:rsidR="007868E0" w:rsidRDefault="00000000">
      <w:pPr>
        <w:spacing w:before="80" w:after="80"/>
      </w:pPr>
      <w:r>
        <w:rPr>
          <w:color w:val="000000"/>
        </w:rPr>
        <w:t xml:space="preserve">This memo describes the three-table empirical strategy for “When Do Red and Blue Go Green?” — a paper examining municipal green bond issuance and mayoral partisanship across ~578 US cities, 2013–2025. The unit of observation is the city-year. The main data sources are Bloomberg Municipal Bond data (green bond outcomes), EPA ECHO (enforcement variables), Census/GFOA (fiscal variables), and an original hand-coded mayoral partisanship dataset (~1,824 cities). The paper’s central claim is that structural forces determine whether a green bond is issued, while partisan identity fills the residual space — determining self-labelling, category choice, and credibility investment where structural constraints do not bind.</w:t>
      </w:r>
    </w:p>
    <w:p w14:paraId="3C181449" w14:textId="77777777" w:rsidR="007868E0" w:rsidRDefault="00000000">
      <w:pPr>
        <w:spacing w:before="100" w:after="60"/>
      </w:pPr>
      <w:r>
        <w:rPr>
          <w:b/>
          <w:color w:val="1F3864"/>
        </w:rPr>
        <w:t>Six Hypotheses</w:t>
      </w:r>
    </w:p>
    <w:p w14:paraId="1D5E9D91" w14:textId="77777777" w:rsidR="007868E0" w:rsidRDefault="00000000">
      <w:pPr>
        <w:spacing w:before="40" w:after="40"/>
      </w:pPr>
      <w:r>
        <w:rPr>
          <w:b/>
          <w:color w:val="000000"/>
        </w:rPr>
        <w:t xml:space="preserve">H1a: </w:t>
      </w:r>
      <w:r>
        <w:rPr>
          <w:color w:val="000000"/>
        </w:rPr>
        <w:t>Regulatory and fiscal compulsion drives green bond issuance regardless of mayoral party.</w:t>
      </w:r>
    </w:p>
    <w:p w14:paraId="61E1E9B6" w14:textId="77777777" w:rsidR="007868E0" w:rsidRDefault="00000000">
      <w:pPr>
        <w:spacing w:before="40" w:after="40"/>
      </w:pPr>
      <w:r>
        <w:rPr>
          <w:b/>
          <w:color w:val="000000"/>
        </w:rPr>
        <w:t xml:space="preserve">H1b: </w:t>
      </w:r>
      <w:r>
        <w:rPr>
          <w:color w:val="000000"/>
        </w:rPr>
        <w:t>Rep_Mayor is null at the extensive issuance margin conditional on compulsion.</w:t>
      </w:r>
    </w:p>
    <w:p w14:paraId="7E83B15C" w14:textId="77777777" w:rsidR="007868E0" w:rsidRDefault="00000000">
      <w:pPr>
        <w:spacing w:before="40" w:after="40"/>
      </w:pPr>
      <w:r>
        <w:rPr>
          <w:b/>
          <w:color w:val="000000"/>
        </w:rPr>
        <w:t xml:space="preserve">H2a: </w:t>
      </w:r>
      <w:r>
        <w:rPr>
          <w:color w:val="000000"/>
        </w:rPr>
        <w:t>The partisan gap in green bond participation increases monotonically as external compulsion decreases across use-of-proceeds categories.</w:t>
      </w:r>
    </w:p>
    <w:p w14:paraId="25CCA9D9" w14:textId="77777777" w:rsidR="007868E0" w:rsidRDefault="00000000">
      <w:pPr>
        <w:spacing w:before="40" w:after="40"/>
      </w:pPr>
      <w:r>
        <w:rPr>
          <w:b/>
          <w:color w:val="000000"/>
        </w:rPr>
        <w:t xml:space="preserve">H2b: </w:t>
      </w:r>
      <w:r>
        <w:rPr>
          <w:color w:val="000000"/>
        </w:rPr>
        <w:t>Conditional on issuing a Bloomberg-classified green bond, Republican mayors are less likely to obtain third-party ESG assurance.</w:t>
      </w:r>
    </w:p>
    <w:p w14:paraId="22D01EE2" w14:textId="77777777" w:rsidR="007868E0" w:rsidRDefault="00000000">
      <w:pPr>
        <w:spacing w:before="40" w:after="40"/>
      </w:pPr>
      <w:r>
        <w:rPr>
          <w:b/>
          <w:color w:val="000000"/>
        </w:rPr>
        <w:t xml:space="preserve">H3a: </w:t>
      </w:r>
      <w:r>
        <w:rPr>
          <w:color w:val="000000"/>
        </w:rPr>
        <w:t xml:space="preserve">Regulatory compulsion and fiscal stress modulate the partisan assurance gap in opposite directions: compulsion compresses it (Family 1a × Family 2); fiscal distress under compulsion first narrows it at Step 2 (instrumental financing channel) then widens it at Step 4 (credibility investment channel).</w:t>
      </w:r>
    </w:p>
    <w:p w14:paraId="61A56E17" w14:textId="77777777" w:rsidR="007868E0" w:rsidRDefault="00000000">
      <w:pPr>
        <w:spacing w:before="40" w:after="100"/>
      </w:pPr>
      <w:r>
        <w:rPr>
          <w:b/>
          <w:color w:val="000000"/>
        </w:rPr>
        <w:t xml:space="preserve">H3b: </w:t>
      </w:r>
      <w:r>
        <w:rPr>
          <w:color w:val="000000"/>
        </w:rPr>
        <w:t>Market discipline (ESG AUM growth), electoral accountability (Democratic constituency pressure), and peer diffusion (neighbouring green bond issuance) all fail to close the partisan assurance gap. The residual space is sticky.</w:t>
      </w:r>
    </w:p>
    <w:p w14:paraId="67A8C2F2" w14:textId="77777777" w:rsidR="007868E0" w:rsidRDefault="00000000">
      <w:pPr>
        <w:spacing w:before="100" w:after="60"/>
      </w:pPr>
      <w:r>
        <w:rPr>
          <w:b/>
          <w:color w:val="1F3864"/>
        </w:rPr>
        <w:t>Key Outcome Variable Definitions</w:t>
      </w:r>
    </w:p>
    <w:p w14:paraId="74E7D891" w14:textId="77777777" w:rsidR="007868E0" w:rsidRDefault="00000000">
      <w:pPr>
        <w:spacing w:before="40" w:after="40"/>
      </w:pPr>
      <w:r>
        <w:rPr>
          <w:b/>
          <w:color w:val="000000"/>
        </w:rPr>
        <w:t xml:space="preserve">Green_Bond_Issued (Steps 1+2 joint). </w:t>
      </w:r>
      <w:r>
        <w:rPr>
          <w:color w:val="000000"/>
        </w:rPr>
        <w:t xml:space="preserve">Bloomberg green leaf flag. Assigned algorithmically when Bloomberg determines the use of proceeds qualifies as green infrastructure investment. Not under issuer control — a water revenue bond issued to fund NPDES-compelled sewer upgrades receives the green leaf automatically regardless of whether the mayor used the words “green bond.”</w:t>
      </w:r>
    </w:p>
    <w:p w14:paraId="692DBB99" w14:textId="77777777" w:rsidR="007868E0" w:rsidRDefault="00000000">
      <w:pPr>
        <w:spacing w:before="40" w:after="40"/>
      </w:pPr>
      <w:r>
        <w:rPr>
          <w:b/>
          <w:color w:val="000000"/>
        </w:rPr>
        <w:t xml:space="preserve">Y_self_green (Step 3). </w:t>
      </w:r>
      <w:r>
        <w:rPr>
          <w:color w:val="000000"/>
        </w:rPr>
        <w:t xml:space="preserve">Bloomberg issuer self-designation field. Set to 1 when the issuer explicitly designated the bond as a green bond — typically by referencing Green Bond Principles, commissioning a second-party opinion, or adopting a green bond framework in the official statement. This is a distinct Bloomberg field from the green leaf: a bond can carry the green leaf without the issuer self-designating. The self-designation is the first genuinely voluntary step in the chain and the first point where Rep_Mayor is expected negative.</w:t>
      </w:r>
    </w:p>
    <w:p w14:paraId="2D4A35F3" w14:textId="77777777" w:rsidR="007868E0" w:rsidRDefault="00000000">
      <w:pPr>
        <w:spacing w:before="40" w:after="40"/>
      </w:pPr>
      <w:r>
        <w:rPr>
          <w:b/>
          <w:color w:val="000000"/>
        </w:rPr>
        <w:t xml:space="preserve">Y_esg_assurance (Step 4). </w:t>
      </w:r>
      <w:r>
        <w:rPr>
          <w:color w:val="000000"/>
        </w:rPr>
        <w:t xml:space="preserve">Bloomberg field recording third-party verification from an external reviewer (Sustainalytics, Vigeo, CICERO etc.) confirming the green credentials of the use of proceeds. The costliest and most voluntary signal. Table 3 conditions on Green_Bond_Issued = 1. Water-only Fisher exact: 46% Democratic vs. 14% Republican, p = 0.010.</w:t>
      </w:r>
    </w:p>
    <w:p w14:paraId="309B8C24" w14:textId="77777777" w:rsidR="007868E0" w:rsidRDefault="00000000">
      <w:pPr>
        <w:spacing w:before="40" w:after="40"/>
      </w:pPr>
      <w:r>
        <w:rPr>
          <w:b/>
          <w:color w:val="000000"/>
        </w:rPr>
        <w:t xml:space="preserve">Rep_Mayor. </w:t>
      </w:r>
      <w:r>
        <w:rPr>
          <w:color w:val="000000"/>
        </w:rPr>
        <w:t xml:space="preserve">Binary, 1 = Republican mayor, lagged 1 year to reflect capital planning cycles. Coded from voter registration records, DIME CF-scores, and endorsements across ~1,824 US cities. Predicted sign: null at Step 2 (compelled outcomes), negative at Step 3 (self-labelling), most negative at Step 4 (assurance).</w:t>
      </w:r>
    </w:p>
    <w:p w14:paraId="75310857" w14:textId="77777777" w:rsidR="007868E0" w:rsidRDefault="00000000">
      <w:pPr>
        <w:spacing w:before="40" w:after="100"/>
      </w:pPr>
      <w:r>
        <w:rPr>
          <w:b/>
          <w:color w:val="000000"/>
        </w:rPr>
        <w:t xml:space="preserve">npdes_formal_prior3yr_muni. </w:t>
      </w:r>
      <w:r>
        <w:rPr>
          <w:color w:val="000000"/>
        </w:rPr>
        <w:t xml:space="preserve">Rolling 3-year stock of NPDES formal enforcement actions against city-owned water and sewer facilities. Primary Family 1a compulsion variable. Source: EPA ECHO, municipal ownership tier. 278 cities with nonzero values; 1,239 nonzero city-years in panel period. Robustness: npdes_formal_prior3yr_locgov (adds water/sewer district facilities); placebo: npdes_formal_prior3yr_private (private facilities, expected null).</w:t>
      </w:r>
    </w:p>
    <w:p w14:paraId="7554417B" w14:textId="77777777" w:rsidR="007868E0" w:rsidRDefault="007868E0">
      <w:pPr>
        <w:spacing w:after="200"/>
      </w:pPr>
    </w:p>
    <w:p w14:paraId="580A7131" w14:textId="77777777" w:rsidR="007868E0" w:rsidRDefault="00000000">
      <w:pPr>
        <w:pStyle w:val="Heading1"/>
        <w:pBdr>
          <w:bottom w:val="single" w:sz="8" w:space="4" w:color="1F3864"/>
        </w:pBdr>
      </w:pPr>
      <w:r>
        <w:t>Overview: The Core Argument</w:t>
      </w:r>
    </w:p>
    <w:p w14:paraId="23A5514D" w14:textId="77777777" w:rsidR="007868E0" w:rsidRDefault="007868E0">
      <w:pPr>
        <w:spacing w:after="40"/>
      </w:pPr>
    </w:p>
    <w:p w14:paraId="182CAB0D" w14:textId="77777777" w:rsidR="007868E0" w:rsidRDefault="00000000">
      <w:pPr>
        <w:spacing w:before="80" w:after="120"/>
      </w:pPr>
      <w:r>
        <w:rPr>
          <w:color w:val="000000"/>
        </w:rPr>
        <w:t>The paper's empirical argument has a single logical spine: structural forces (federal regulatory mandates and fiscal constitutional rules) create green bond issuance that transcends partisan polarisation. Polarisation reasserts itself exactly where structure provides no compulsion — in which categories cities enter and how credibly they invest within those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8E0" w14:paraId="27BD974B" w14:textId="77777777">
        <w:tblPrEx>
          <w:tblCellMar>
            <w:top w:w="0" w:type="dxa"/>
            <w:bottom w:w="0" w:type="dxa"/>
          </w:tblCellMar>
        </w:tblPrEx>
        <w:tc>
          <w:tcPr>
            <w:tcW w:w="0" w:type="auto"/>
            <w:tcBorders>
              <w:top w:val="single" w:sz="4" w:space="0" w:color="E8A800"/>
              <w:left w:val="single" w:sz="12" w:space="0" w:color="E8A800"/>
              <w:bottom w:val="single" w:sz="4" w:space="0" w:color="E8A800"/>
              <w:right w:val="single" w:sz="4" w:space="0" w:color="E8A800"/>
            </w:tcBorders>
            <w:shd w:val="clear" w:color="auto" w:fill="FFFBEE"/>
            <w:tcMar>
              <w:top w:w="100" w:type="dxa"/>
              <w:left w:w="160" w:type="dxa"/>
              <w:bottom w:w="100" w:type="dxa"/>
              <w:right w:w="160" w:type="dxa"/>
            </w:tcMar>
          </w:tcPr>
          <w:p w14:paraId="04AACE6B" w14:textId="7169DBAD" w:rsidR="007868E0" w:rsidRDefault="00000000">
            <w:r>
              <w:rPr>
                <w:i/>
                <w:iCs/>
                <w:color w:val="5C4A00"/>
                <w:sz w:val="20"/>
                <w:szCs w:val="20"/>
              </w:rPr>
              <w:t xml:space="preserve">The three tables follow a single city through its complete green bond decision chain. Table 1 moves through Steps 2 and 3 in sequence: Columns 1–2 test the Bloomberg automatic classification outcome (Step 2 — financing decision, Rep_Mayor null); Columns 3–4 test the issuer’s voluntary self-designation (Step 3 — first discretionary choice, Rep_Mayor negative). Table 2 disaggregates Step 3 across use-of-proceeds categories to trace the compulsion gradient: water is compelled so the partisan gap is null; clean transportation, renewables, energy efficiency, and green buildings are discretionary so the gap is large or complete. Table 3 tests Step 4 conditional on Step 2 having occurred: given a Bloomberg-classified green bond was issued, does the mayor invest in third-party credibility signalling? The same right-hand side specification runs unchanged across all three tables. The changing coefficient on Rep_Mayor is not a result that was searched for — it is the predicted consequence of moving down a pre-specified chain from compelled to discretionary decisions.</w:t>
            </w:r>
          </w:p>
        </w:tc>
      </w:tr>
    </w:tbl>
    <w:p w14:paraId="2F61E978" w14:textId="77777777" w:rsidR="007868E0" w:rsidRDefault="007868E0">
      <w:pPr>
        <w:spacing w:after="160"/>
      </w:pPr>
    </w:p>
    <w:p w14:paraId="5A467689" w14:textId="77777777" w:rsidR="007868E0" w:rsidRDefault="00000000">
      <w:pPr>
        <w:pStyle w:val="Heading1"/>
        <w:pBdr>
          <w:bottom w:val="single" w:sz="8" w:space="4" w:color="1F3864"/>
        </w:pBdr>
      </w:pPr>
      <w:r>
        <w:t>Theoretical Architecture</w:t>
      </w:r>
    </w:p>
    <w:p w14:paraId="5C3E4CB8" w14:textId="77777777" w:rsidR="007868E0" w:rsidRDefault="007868E0">
      <w:pPr>
        <w:spacing w:after="40"/>
      </w:pPr>
    </w:p>
    <w:p w14:paraId="022E6A9B" w14:textId="77777777" w:rsidR="007A6A45" w:rsidRDefault="007A6A45">
      <w:pPr>
        <w:pStyle w:val="Heading2"/>
      </w:pPr>
      <w:r>
        <w:t>The Four-Step Decision Chain</w:t>
      </w:r>
    </w:p>
    <w:p w14:paraId="477E8112" w14:textId="77777777" w:rsidR="007868E0" w:rsidRDefault="00000000">
      <w:pPr>
        <w:spacing w:before="80" w:after="120"/>
      </w:pPr>
      <w:r>
        <w:rPr>
          <w:color w:val="000000"/>
        </w:rPr>
        <w:t xml:space="preserve">The paper’s empirical argument is organised around a four-step sequential decision chain. Each step selects on a different mechanism, and the predicted sign on Rep_Mayor changes as the chain progresses from compelled to discretionary decisions. The same right-hand side specification runs unchanged across all three tables — only the outcome variable changes. This pre-commitment prevents post hoc specification searching: the model is declared once, the predicted signs are fixed in advance, and the gradient of Rep_Mayor coefficients across outcomes is the central finding.</w:t>
      </w:r>
    </w:p>
    <w:p w14:paraId="6F53BBCB" w14:textId="77777777" w:rsidR="007868E0" w:rsidRDefault="00000000">
      <w:pPr>
        <w:spacing w:before="80" w:after="80"/>
      </w:pPr>
      <w:r>
        <w:rPr>
          <w:b/>
          <w:color w:val="000000"/>
        </w:rPr>
        <w:t xml:space="preserve">Step 1+2 (joint) — Project and financing decision. </w:t>
      </w:r>
      <w:r>
        <w:rPr>
          <w:color w:val="000000"/>
        </w:rPr>
        <w:t xml:space="preserve">Does the city undertake a qualifying green infrastructure project and finance it via bond? Bloomberg classifies a bond as green based on use of funds, not issuer self-labelling. A water revenue bond issued to fund NPDES-compelled sewer upgrades therefore receives the Bloomberg green leaf automatically, regardless of whether the mayor ever used the words “green bond.” The Bloomberg binary outcome (Green_Bond_Issued) thus captures Steps 1 and 2 jointly: the compulsion pipeline produced a bond, and Bloomberg recognised the use of funds as green. Rep_Mayor is expected null conditional on enforcement compulsion. Partisan identity cannot override Bloomberg’s algorithmic classification of infrastructure use-of-proceeds.</w:t>
      </w:r>
    </w:p>
    <w:p w14:paraId="6088279C" w14:textId="77777777" w:rsidR="007868E0" w:rsidRDefault="00000000">
      <w:pPr>
        <w:spacing w:before="80" w:after="80"/>
      </w:pPr>
      <w:r>
        <w:rPr>
          <w:b/>
          <w:color w:val="000000"/>
        </w:rPr>
        <w:t xml:space="preserve">Step 3 — Self-label as green (yes/no). </w:t>
      </w:r>
      <w:r>
        <w:rPr>
          <w:color w:val="000000"/>
        </w:rPr>
        <w:t xml:space="preserve">Given that Bloomberg has already classified the bond as green based on use of funds, does the issuer additionally designate it as a green bond — using Green Bond Principles language, commissioning a second-party opinion, or adopting a green bond framework? This is Y_self_green, a distinct Bloomberg field recording the issuer’s explicit voluntary designation, not Bloomberg’s own algorithmic classification. This is the first genuinely discretionary step: a Republican mayor can issue the water bond (compelled), have it classified green by Bloomberg (automatic), and still choose not to claim the green label. Rep_Mayor is expected negative for the first time at this step.</w:t>
      </w:r>
    </w:p>
    <w:p w14:paraId="333F1F51" w14:textId="77777777" w:rsidR="007868E0" w:rsidRDefault="00000000">
      <w:pPr>
        <w:spacing w:before="80" w:after="120"/>
      </w:pPr>
      <w:r>
        <w:rPr>
          <w:b/>
          <w:color w:val="000000"/>
        </w:rPr>
        <w:t xml:space="preserve">Step 4 — Third-party assurance (yes/no). </w:t>
      </w:r>
      <w:r>
        <w:rPr>
          <w:color w:val="000000"/>
        </w:rPr>
        <w:t xml:space="preserve">Given the bond is labelled green, does the issuer obtain third-party verification from an external reviewer confirming the green credentials of the use of proceeds? This is Y_esg_assurance. The costliest and most voluntary signal — requiring commissioning and paying for an independent review. Rep_Mayor is expected most negative here. Table 3 conditions on Green_Bond_Issued = 1 (the Bloomberg-classified green bond sample), ensuring the outcome contrasts issuers who obtained assurance against those who did not, not issuers against non-issuers.</w:t>
      </w:r>
    </w:p>
    <w:p w14:paraId="55A4F6C9" w14:textId="77777777" w:rsidR="007868E0" w:rsidRDefault="007868E0">
      <w:pPr>
        <w:spacing w:after="200"/>
      </w:pPr>
    </w:p>
    <w:p w14:paraId="415A12F4" w14:textId="77777777" w:rsidR="007868E0" w:rsidRDefault="00000000">
      <w:pPr>
        <w:pStyle w:val="Heading2"/>
      </w:pPr>
      <w:r>
        <w:t>The Four-Family Structure of Independent Variables</w:t>
      </w:r>
    </w:p>
    <w:p w14:paraId="1132D46E" w14:textId="77777777" w:rsidR="007868E0" w:rsidRDefault="00000000">
      <w:pPr>
        <w:spacing w:before="80" w:after="120"/>
      </w:pPr>
      <w:r>
        <w:rPr>
          <w:color w:val="000000"/>
        </w:rPr>
        <w:t xml:space="preserve">The independent variables are organised into four families that classify both why a variable matters and at which step of the decision chain it primarily acts. The original three-family structure is refined here to separate legal-regulatory compulsion (1a) from fiscal-economic necessity (1b), and to recognise that compulsion itself is partially a Family 3 phenomenon — the effective bite of a federal mandate depends on state-level enforcement capacity and political willingness to enforce. The room-to-manoeuvre is defined by the intersection of all four families: partisan preferences express themselves in exactly and only what remains after legal compulsion (1a), fiscal necessity (1b), and the state feasibility frontier (3) have all operated.</w:t>
      </w:r>
    </w:p>
    <w:p w14:paraId="53BCC41A" w14:textId="77777777" w:rsidR="007868E0" w:rsidRDefault="00000000">
      <w:pPr>
        <w:spacing w:before="80" w:after="80"/>
      </w:pPr>
      <w:r>
        <w:rPr>
          <w:b/>
          <w:color w:val="1F3864"/>
        </w:rPr>
        <w:t xml:space="preserve">Family 1a — Federal legal-regulatory compulsion (acts at Steps 1–2). </w:t>
      </w:r>
      <w:r>
        <w:rPr>
          <w:color w:val="000000"/>
        </w:rPr>
        <w:t xml:space="preserve">The federal mandate itself. Creates a binding investment obligation with legal consequences for non-compliance. Overrides mayoral preference completely at Steps 1 and 2; partially overrides at Steps 3 and 4 under maximum enforcement intensity. Variables: npdes_formal_prior3yr_muni (primary), case_jdc_prior3yr_muni (robustness), overflow_events_muni (secondary). The key identification claim: this variable is determined by EPA enforcement decisions, not mayoral preferences, and is therefore exogenous to the green bond outcome conditional on controls.</w:t>
      </w:r>
    </w:p>
    <w:p w14:paraId="5BFE70A8" w14:textId="77777777" w:rsidR="007868E0" w:rsidRDefault="00000000">
      <w:pPr>
        <w:spacing w:before="80" w:after="80"/>
      </w:pPr>
      <w:r>
        <w:rPr>
          <w:b/>
          <w:color w:val="1F3864"/>
        </w:rPr>
        <w:t xml:space="preserve">Family 1b — Fiscal-economic necessity (acts at Step 2). </w:t>
      </w:r>
      <w:r>
        <w:rPr>
          <w:color w:val="000000"/>
        </w:rPr>
        <w:t xml:space="preserve">Economic pressure to invest and bond, operating through fiscal capacity and infrastructure need rather than legal mandate. Creates conditions where bond financing is the rational or only available option, but leaves more residual discretion than 1a — a mayor can in principle defer, underfund, or substitute. Variables: charges_to_own_source (enterprise fund depth, determines bond independence from general fund), reserve_ratio_lag2 (fiscal capacity gate), debt_service_burden_lag2, tel_stringency_normalized (fiscal constitutional constraint on alternative revenues), log_cwsrf_obligations_lag2 (subsidised financing alternative — high SRF availability crowds out bond issuance), cwns_needs_real_lag2 (infrastructure needs index), pct_deficient_lag2.</w:t>
      </w:r>
    </w:p>
    <w:p w14:paraId="4451C3F8" w14:textId="77777777" w:rsidR="007868E0" w:rsidRDefault="00000000">
      <w:pPr>
        <w:spacing w:before="80" w:after="80"/>
      </w:pPr>
      <w:r>
        <w:rPr>
          <w:b/>
          <w:color w:val="1F3864"/>
        </w:rPr>
        <w:t xml:space="preserve">Family 2 — Partisan identity (acts at Steps 1, 3, and 4 in the residual space). </w:t>
      </w:r>
      <w:r>
        <w:rPr>
          <w:color w:val="000000"/>
        </w:rPr>
        <w:t xml:space="preserve">Mayoral partisan preferences expressed wherever structural constraints do not fully determine the outcome. Rep_Mayor is null where 1a compulsion binds (Steps 1–2 for compelled categories) and negative everywhere else. Variables: Rep_Mayor (binary, primary), prob_republican (continuous robustness), Rep_Mayor × npdes_formal_prior3yr_muni (1a × 2 interaction: compulsion compresses the partisan gap), Rep_Mayor × fiscal_stress_pca_lag2 (1b × 2 interaction: sign depends on step — at Step 4 fiscal stress widens the assurance gap; see Table 1 Col 5 for the Step 2 triple interaction where fiscal distress narrows the gap instrumentally), Rep_Mayor × pres_dem_vote_share (2 × 3 interaction: electoral accountability fails to close the gap — H3b).</w:t>
      </w:r>
    </w:p>
    <w:p w14:paraId="5C9B48D2" w14:textId="77777777" w:rsidR="007868E0" w:rsidRDefault="00000000">
      <w:pPr>
        <w:spacing w:before="80" w:after="120"/>
      </w:pPr>
      <w:r>
        <w:rPr>
          <w:b/>
          <w:color w:val="1F3864"/>
        </w:rPr>
        <w:t xml:space="preserve">Family 3 — State feasibility frontier (acts at all steps; modulates 1a bite). </w:t>
      </w:r>
      <w:r>
        <w:rPr>
          <w:color w:val="000000"/>
        </w:rPr>
        <w:t xml:space="preserve">Determines both whether federal compulsion effectively binds at the local level and whether green labelling is institutionally feasible. Crucially, compulsion is itself partially a Family 3 phenomenon: the effective bite of a federal mandate depends on state enforcement capacity and political willingness to co-enforce. A consent decree in a state with aggressive delegated NPDES authority and active co-enforcement creates tighter compulsion than the same consent decree in a state with weak delegated enforcement. Variables fall into three sub-groups: (i) enforcement capacity — state NPDES delegated authority aggressiveness, state co-enforcement; (ii) market infrastructure — state_green_bond_ever_lag1, esg_has_muni_bond_law; (iii) political environment and substitution — state_rep_trifecta, has_substitute_issuer. The interaction 1a × Family 3 × Family 2 (compulsion × state enforcement capacity × Rep_Mayor) predicts that the partisan gap is smallest where both federal compulsion and state enforcement capacity are high, and largest where federal compulsion exists nominally but state enforcement is weak enough to leave mayors de facto discretion.</w:t>
      </w:r>
    </w:p>
    <w:p w14:paraId="50F3ED54" w14:textId="77777777" w:rsidR="007868E0" w:rsidRDefault="007868E0">
      <w:pPr>
        <w:spacing w:after="200"/>
      </w:pPr>
    </w:p>
    <w:p w14:paraId="5EEE06F9" w14:textId="77777777" w:rsidR="007868E0" w:rsidRDefault="00000000">
      <w:pPr>
        <w:pStyle w:val="Heading2"/>
      </w:pPr>
      <w:r>
        <w:t>Rep_Mayor Across the Decision Chain</w:t>
      </w:r>
    </w:p>
    <w:p w14:paraId="750C7F57" w14:textId="77777777" w:rsidR="007868E0" w:rsidRDefault="00000000">
      <w:pPr>
        <w:spacing w:before="80" w:after="120"/>
      </w:pPr>
      <w:r>
        <w:rPr>
          <w:color w:val="000000"/>
        </w:rPr>
        <w:t xml:space="preserve">Rep_Mayor is a Family 2 variable throughout, but it acts at every step of the decision chain with different predicted effects depending on whether the decision is compelled or discretionary. Its predicted sign is not fixed — it is conditioned on what structural forces are binding at each step. This is the core empirical content of the Mosley room-to-manoeuvre argument applied sequentially: partisan preferences fill exactly the space that compulsion leaves open, and that space changes at each step.</w:t>
      </w:r>
    </w:p>
    <w:p w14:paraId="1A4A5902" w14:textId="77777777" w:rsidR="007868E0" w:rsidRDefault="00000000">
      <w:pPr>
        <w:spacing w:before="80" w:after="80"/>
      </w:pPr>
      <w:r>
        <w:rPr>
          <w:b/>
          <w:color w:val="000000"/>
        </w:rPr>
        <w:t xml:space="preserve">Step 1 — Project decision. </w:t>
      </w:r>
      <w:r>
        <w:rPr>
          <w:color w:val="000000"/>
        </w:rPr>
        <w:t xml:space="preserve">Rep_Mayor is null for compelled projects (water infrastructure under NPDES enforcement) because the regulatory obligation overrides mayoral preference. Rep_Mayor is negative — and often produces complete separation — for discretionary projects (clean energy, green buildings, climate adaptation). A Republican mayor simply does not initiate a renewable energy installation or green building retrofit absent structural compulsion. This is the mechanism behind Table 2: the partisan gap in category entry is fundamentally a Step 1 gap. The Republican mayor never decided to build the discretionary project, so there is no bond to self-label and no assurance to obtain. The chain never starts for those categories.</w:t>
      </w:r>
    </w:p>
    <w:p w14:paraId="519BE107" w14:textId="77777777" w:rsidR="007868E0" w:rsidRDefault="00000000">
      <w:pPr>
        <w:spacing w:before="80" w:after="80"/>
      </w:pPr>
      <w:r>
        <w:rPr>
          <w:b/>
          <w:color w:val="000000"/>
        </w:rPr>
        <w:t xml:space="preserve">Step 2 — Financing decision. </w:t>
      </w:r>
      <w:r>
        <w:rPr>
          <w:color w:val="000000"/>
        </w:rPr>
        <w:t xml:space="preserve">Rep_Mayor is null for compelled projects. Once the investment is mandated, fiscal structure (TEL, reserve ratio, enterprise fund depth) determines whether a bond is necessary. For discretionary categories Republicans are absent for a different reason — Step 1 already selected them out.</w:t>
      </w:r>
    </w:p>
    <w:p w14:paraId="79847355" w14:textId="77777777" w:rsidR="007868E0" w:rsidRDefault="00000000">
      <w:pPr>
        <w:spacing w:before="80" w:after="80"/>
      </w:pPr>
      <w:r>
        <w:rPr>
          <w:b/>
          <w:color w:val="000000"/>
        </w:rPr>
        <w:t xml:space="preserve">Step 3 — Self-labelling. </w:t>
      </w:r>
      <w:r>
        <w:rPr>
          <w:color w:val="000000"/>
        </w:rPr>
        <w:t xml:space="preserve">For compelled projects (water bonds) Rep_Mayor is negative — the project and bond occurred, but the mayor declines the green designation. This is the first step where partisan identity expressly reasserts itself within the compelled sample. For discretionary categories there is near-zero Republican participation, but for a different reason: most Republicans never reached Step 3 because they did not initiate the project at Step 1. The Table 1 Cols 3–4 result and the Table 2 result are therefore testing the same Rep_Mayor effect at Step 3, but in different subsamples with different selection mechanisms upstream.</w:t>
      </w:r>
    </w:p>
    <w:p w14:paraId="5213140F" w14:textId="77777777" w:rsidR="007868E0" w:rsidRDefault="00000000">
      <w:pPr>
        <w:spacing w:before="80" w:after="80"/>
      </w:pPr>
      <w:r>
        <w:rPr>
          <w:b/>
          <w:color w:val="000000"/>
        </w:rPr>
        <w:t xml:space="preserve">Step 4 — Assurance. </w:t>
      </w:r>
      <w:r>
        <w:rPr>
          <w:color w:val="000000"/>
        </w:rPr>
        <w:t xml:space="preserve">Rep_Mayor is most negative here, within the compelled water sample where both parties are present. This is the deepest discretionary choice available within a structurally forced category. The water-only Fisher exact result (46% Democratic vs. 14% Republican, p = 0.010) is a direct measure of this effect on identical compelled infrastructure.</w:t>
      </w:r>
    </w:p>
    <w:p w14:paraId="314981D4" w14:textId="77777777" w:rsidR="007868E0" w:rsidRDefault="00000000">
      <w:pPr>
        <w:spacing w:before="80" w:after="120"/>
      </w:pPr>
      <w:r>
        <w:rPr>
          <w:b/>
          <w:color w:val="000000"/>
        </w:rPr>
        <w:t xml:space="preserve">The partisan gap migrates down the chain. </w:t>
      </w:r>
      <w:r>
        <w:rPr>
          <w:color w:val="000000"/>
        </w:rPr>
        <w:t xml:space="preserve">A consent decree forces the project (Step 1) and the bond (Step 2) but does not force the label (Step 3) or assurance (Step 4). Partisan preferences reassert themselves at every step where they are not also bound by a separate structural constraint. The Table 2 gap is almost entirely a Step 1 gap; the Table 1 Cols 3–4 and Table 3 gaps are Steps 3–4 gaps. This sharpens the Peterson claim: market forces operate at Step 2 but do not reach Steps 3 and 4 where partisan identity remains operative.</w:t>
      </w:r>
    </w:p>
    <w:p w14:paraId="16698EDB" w14:textId="77777777" w:rsidR="007868E0" w:rsidRDefault="007868E0">
      <w:pPr>
        <w:spacing w:after="200"/>
      </w:pPr>
    </w:p>
    <w:p w14:paraId="349C5A28" w14:textId="77777777" w:rsidR="007868E0" w:rsidRDefault="00000000">
      <w:pPr>
        <w:pStyle w:val="Heading1"/>
        <w:pBdr>
          <w:bottom w:val="single" w:sz="8" w:space="4" w:color="1F3864"/>
        </w:pBdr>
      </w:pPr>
      <w:r>
        <w:t>Table 1 — The Compulsion Pipeline</w:t>
      </w:r>
    </w:p>
    <w:p w14:paraId="6D3B81E7" w14:textId="77777777" w:rsidR="007868E0" w:rsidRDefault="007868E0">
      <w:pPr>
        <w:spacing w:after="40"/>
      </w:pPr>
    </w:p>
    <w:p w14:paraId="1EF35ECD" w14:textId="77777777" w:rsidR="007868E0" w:rsidRDefault="00000000">
      <w:pPr>
        <w:spacing w:before="80" w:after="120"/>
      </w:pPr>
      <w:r>
        <w:rPr>
          <w:b/>
          <w:bCs/>
          <w:color w:val="000000"/>
        </w:rPr>
        <w:t xml:space="preserve">Hypotheses tested: </w:t>
      </w:r>
      <w:r>
        <w:rPr>
          <w:color w:val="000000"/>
        </w:rPr>
        <w:t>H1a (compulsion drives issuance regardless of party) and H1b (Rep_Mayor null at extensive margin conditional on compulsion).</w:t>
      </w:r>
    </w:p>
    <w:p w14:paraId="798896E4" w14:textId="77777777" w:rsidR="007868E0" w:rsidRDefault="00000000">
      <w:pPr>
        <w:pStyle w:val="Heading2"/>
      </w:pPr>
      <w:r>
        <w:t>Logic</w:t>
      </w:r>
    </w:p>
    <w:p w14:paraId="0811A06B" w14:textId="77777777" w:rsidR="007868E0" w:rsidRDefault="00000000">
      <w:pPr>
        <w:spacing w:before="80" w:after="120"/>
      </w:pPr>
      <w:r>
        <w:rPr>
          <w:color w:val="000000"/>
        </w:rPr>
        <w:t xml:space="preserve">Table 1 tests whether Family 1a and 1b forces drive the Steps 1+2 joint outcome (Green_Bond_Issued) and whether partisan identity is absent at this stage (H1b). Columns 1–2 use the Bloomberg green leaf outcome, which is assigned algorithmically based on use of funds and is not under mayoral control. The enforcement variable is the right predictor here; Rep_Mayor is expected null. Columns 3–4 introduce the first discretionary outcome — Y_self_green, the issuer’s explicit voluntary designation — and serve as the pivot: the same enforcement RHS now predicts a choice the mayor controls. Rep_Mayor is expected to turn negative for the first time in Column 3, establishing that partisan identity enters precisely at the first discretionary step in the chain. Columns 1 and 2 together with Columns 3 and 4 thus provide within-table evidence of the transition from compelled to discretionary decisions.</w:t>
      </w:r>
    </w:p>
    <w:p w14:paraId="2743D874" w14:textId="77777777" w:rsidR="007868E0" w:rsidRDefault="00000000">
      <w:pPr>
        <w:pStyle w:val="Heading2"/>
      </w:pPr>
      <w:r>
        <w:lastRenderedPageBreak/>
        <w:t>Structure: Five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868E0" w14:paraId="3C80C6DF"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D39ABA" w14:textId="77777777" w:rsidR="007868E0" w:rsidRDefault="00000000">
            <w:r>
              <w:rPr>
                <w:b/>
                <w:bCs/>
                <w:color w:val="FFFFFF"/>
                <w:sz w:val="20"/>
                <w:szCs w:val="20"/>
              </w:rPr>
              <w:t>Column</w:t>
            </w:r>
          </w:p>
        </w:tc>
        <w:tc>
          <w:tcPr>
            <w:tcW w:w="7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20" w:type="dxa"/>
            </w:tcMar>
          </w:tcPr>
          <w:p w14:paraId="00E3C171" w14:textId="77777777" w:rsidR="007868E0" w:rsidRDefault="00000000">
            <w:r>
              <w:rPr>
                <w:b/>
                <w:bCs/>
                <w:color w:val="FFFFFF"/>
                <w:sz w:val="20"/>
                <w:szCs w:val="20"/>
              </w:rPr>
              <w:t>Specification and Purpose</w:t>
            </w:r>
          </w:p>
        </w:tc>
      </w:tr>
      <w:tr w:rsidR="007868E0" w14:paraId="0F85F1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35A230B" w14:textId="77777777" w:rsidR="007868E0" w:rsidRDefault="00000000">
            <w:r>
              <w:rPr>
                <w:b/>
                <w:bCs/>
                <w:color w:val="1F3864"/>
                <w:sz w:val="20"/>
                <w:szCs w:val="20"/>
              </w:rPr>
              <w:t>Col 1</w:t>
            </w:r>
          </w:p>
        </w:tc>
        <w:tc>
          <w:tcPr>
            <w:tcW w:w="7360" w:type="dxa"/>
            <w:tcBorders>
              <w:top w:val="single" w:sz="1" w:space="0" w:color="CCCCCC"/>
              <w:left w:val="single" w:sz="1" w:space="0" w:color="CCCCCC"/>
              <w:bottom w:val="single" w:sz="1" w:space="0" w:color="CCCCCC"/>
              <w:right w:val="single" w:sz="1" w:space="0" w:color="CCCCCC"/>
            </w:tcBorders>
            <w:shd w:val="clear" w:color="auto" w:fill="FAFBFD"/>
            <w:tcMar>
              <w:top w:w="80" w:type="dxa"/>
              <w:left w:w="140" w:type="dxa"/>
              <w:bottom w:w="80" w:type="dxa"/>
              <w:right w:w="120" w:type="dxa"/>
            </w:tcMar>
          </w:tcPr>
          <w:p w14:paraId="23FF2D9F" w14:textId="77777777" w:rsidR="007868E0" w:rsidRDefault="00000000">
            <w:r>
              <w:rPr>
                <w:sz w:val="20"/>
                <w:szCs w:val="20"/>
              </w:rPr>
              <w:t>Green_Bond_Issued (Bloomberg binary, LPM). Baseline compulsion pipeline. Rep_Mayor expected null (H1b).</w:t>
            </w:r>
          </w:p>
        </w:tc>
      </w:tr>
      <w:tr w:rsidR="007868E0" w14:paraId="5938B3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2087B859" w14:textId="77777777" w:rsidR="007868E0" w:rsidRDefault="00000000">
            <w:r>
              <w:rPr>
                <w:b/>
                <w:bCs/>
                <w:color w:val="1F3864"/>
                <w:sz w:val="20"/>
                <w:szCs w:val="20"/>
              </w:rPr>
              <w:t>Col 2</w:t>
            </w:r>
          </w:p>
        </w:tc>
        <w:tc>
          <w:tcPr>
            <w:tcW w:w="73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40" w:type="dxa"/>
              <w:bottom w:w="80" w:type="dxa"/>
              <w:right w:w="120" w:type="dxa"/>
            </w:tcMar>
          </w:tcPr>
          <w:p w14:paraId="11B7F4D8" w14:textId="77777777" w:rsidR="007868E0" w:rsidRDefault="00000000">
            <w:r>
              <w:rPr>
                <w:sz w:val="20"/>
                <w:szCs w:val="20"/>
              </w:rPr>
              <w:t>asinh_green_amt. Same specification. Tests whether compulsion drives bond amount as well as participation.</w:t>
            </w:r>
          </w:p>
        </w:tc>
      </w:tr>
      <w:tr w:rsidR="007868E0" w14:paraId="3043A1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38BBA1" w14:textId="77777777" w:rsidR="007868E0" w:rsidRDefault="00000000">
            <w:r>
              <w:rPr>
                <w:b/>
                <w:bCs/>
                <w:color w:val="1F3864"/>
                <w:sz w:val="20"/>
                <w:szCs w:val="20"/>
              </w:rPr>
              <w:t>Col 3</w:t>
            </w:r>
          </w:p>
        </w:tc>
        <w:tc>
          <w:tcPr>
            <w:tcW w:w="7360" w:type="dxa"/>
            <w:tcBorders>
              <w:top w:val="single" w:sz="1" w:space="0" w:color="CCCCCC"/>
              <w:left w:val="single" w:sz="1" w:space="0" w:color="CCCCCC"/>
              <w:bottom w:val="single" w:sz="1" w:space="0" w:color="CCCCCC"/>
              <w:right w:val="single" w:sz="1" w:space="0" w:color="CCCCCC"/>
            </w:tcBorders>
            <w:shd w:val="clear" w:color="auto" w:fill="FAFBFD"/>
            <w:tcMar>
              <w:top w:w="80" w:type="dxa"/>
              <w:left w:w="140" w:type="dxa"/>
              <w:bottom w:w="80" w:type="dxa"/>
              <w:right w:w="120" w:type="dxa"/>
            </w:tcMar>
          </w:tcPr>
          <w:p w14:paraId="6E82F025" w14:textId="77777777" w:rsidR="007868E0" w:rsidRDefault="00000000">
            <w:r>
              <w:rPr>
                <w:sz w:val="20"/>
                <w:szCs w:val="20"/>
              </w:rPr>
              <w:t xml:space="preserve">Y_self_green (issuer self-designation field, distinct from Bloomberg green leaf). Step 3 — first discretionary decision in the chain. Bloomberg has already classified the bond as green based on use of funds; the question is whether the mayor additionally claims the green label. Rep_Mayor expected negative here for the first time (contrast with null in Cols 1–2). This is the pivot column: enforcement compulsion predicts Cols 1–2; partisan identity enters Col 3.</w:t>
            </w:r>
          </w:p>
        </w:tc>
      </w:tr>
      <w:tr w:rsidR="007868E0" w14:paraId="030890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2D9467F4" w14:textId="77777777" w:rsidR="007868E0" w:rsidRDefault="00000000">
            <w:r>
              <w:rPr>
                <w:b/>
                <w:bCs/>
                <w:color w:val="1F3864"/>
                <w:sz w:val="20"/>
                <w:szCs w:val="20"/>
              </w:rPr>
              <w:t>Col 4</w:t>
            </w:r>
          </w:p>
        </w:tc>
        <w:tc>
          <w:tcPr>
            <w:tcW w:w="73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40" w:type="dxa"/>
              <w:bottom w:w="80" w:type="dxa"/>
              <w:right w:w="120" w:type="dxa"/>
            </w:tcMar>
          </w:tcPr>
          <w:p w14:paraId="3164CC90" w14:textId="77777777" w:rsidR="007868E0" w:rsidRDefault="00000000">
            <w:r>
              <w:rPr>
                <w:sz w:val="20"/>
                <w:szCs w:val="20"/>
              </w:rPr>
              <w:t>asinh_self_green_amt. Same specification.</w:t>
            </w:r>
          </w:p>
        </w:tc>
      </w:tr>
      <w:tr w:rsidR="007868E0" w14:paraId="65A70F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A5C075" w14:textId="77777777" w:rsidR="007868E0" w:rsidRDefault="00000000">
            <w:r>
              <w:rPr>
                <w:b/>
                <w:bCs/>
                <w:color w:val="1F3864"/>
                <w:sz w:val="20"/>
                <w:szCs w:val="20"/>
              </w:rPr>
              <w:t>Col 5</w:t>
            </w:r>
          </w:p>
        </w:tc>
        <w:tc>
          <w:tcPr>
            <w:tcW w:w="7360" w:type="dxa"/>
            <w:tcBorders>
              <w:top w:val="single" w:sz="1" w:space="0" w:color="CCCCCC"/>
              <w:left w:val="single" w:sz="1" w:space="0" w:color="CCCCCC"/>
              <w:bottom w:val="single" w:sz="1" w:space="0" w:color="CCCCCC"/>
              <w:right w:val="single" w:sz="1" w:space="0" w:color="CCCCCC"/>
            </w:tcBorders>
            <w:shd w:val="clear" w:color="auto" w:fill="FAFBFD"/>
            <w:tcMar>
              <w:top w:w="80" w:type="dxa"/>
              <w:left w:w="140" w:type="dxa"/>
              <w:bottom w:w="80" w:type="dxa"/>
              <w:right w:w="120" w:type="dxa"/>
            </w:tcMar>
          </w:tcPr>
          <w:p w14:paraId="43D536E0" w14:textId="77777777" w:rsidR="007868E0" w:rsidRDefault="00000000">
            <w:r>
              <w:rPr>
                <w:sz w:val="20"/>
                <w:szCs w:val="20"/>
              </w:rPr>
              <w:t>Green_Bond_Issued with three interactions testing the triple moderation at Step 2. (i) npdes_formal_prior3yr_muni × Rep_Mayor: compulsion overrides partisan identity — both parties enter under enforcement, positive interaction expected. (ii) overflow_events_muni × Rep_Mayor: same logic for overflow-triggered compulsion. (iii) npdes_formal_prior3yr_muni × fiscal_stress_pca_lag2 × Rep_Mayor: the key triple interaction — Family 1a × 1b × 2. Among compelled cities, fiscally distressed Republican mayors are pulled into the green bond market instrumentally: the green label unlocks ESG-mandated investor demand at lower cost, a purely fiscal rationale independent of climate ideology. Expected: positive triple interaction, reflecting a steeper compulsion-distress gradient for Republican mayors than Democratic mayors. Democratic mayors issue under compulsion regardless of fiscal distress (ideological + instrumental); Republican mayors issue under compulsion only when fiscal distress makes the green label a financing necessity. Note: this triple interaction tests H1a via the fiscal amplification channel and belongs in Table 1, not Table 3 — it is a Step 2 financing decision effect, not a Step 4 credibility effect.</w:t>
            </w:r>
          </w:p>
        </w:tc>
      </w:tr>
    </w:tbl>
    <w:p w14:paraId="4C1CA7CB" w14:textId="77777777" w:rsidR="007868E0" w:rsidRDefault="00000000">
      <w:pPr>
        <w:pBdr>
          <w:top w:val="single" w:sz="4" w:space="4" w:color="B8CCE4"/>
          <w:left w:val="single" w:sz="12" w:space="8" w:color="1F3864"/>
          <w:bottom w:val="single" w:sz="4" w:space="4" w:color="B8CCE4"/>
          <w:right w:val="single" w:sz="4" w:space="4" w:color="B8CCE4"/>
        </w:pBdr>
        <w:shd w:val="clear" w:color="auto" w:fill="EEF3FB"/>
        <w:spacing w:before="120" w:after="120"/>
        <w:ind w:left="160" w:right="160"/>
      </w:pPr>
      <w:r>
        <w:rPr>
          <w:b/>
          <w:color w:val="1F3864"/>
          <w:sz w:val="20"/>
          <w:szCs w:val="20"/>
        </w:rPr>
        <w:t xml:space="preserve">Key sign prediction: fiscal distress operates in opposite directions at Step 2 and Step 4. </w:t>
      </w:r>
      <w:r>
        <w:rPr>
          <w:color w:val="1F3864"/>
          <w:sz w:val="20"/>
          <w:szCs w:val="20"/>
        </w:rPr>
        <w:t xml:space="preserve">At Step 2 (Table 1 Col 5 triple interaction), fiscal distress + compulsion narrows the partisan gap — Republican mayors are pulled into the green bond market instrumentally because the green label unlocks cheaper ESG investor demand. At Step 4 (Table 3 Col 3 interaction), fiscal distress widens the partisan assurance gap — Democratic mayors use credibility signalling to improve credit standing but Republican mayors who entered the market instrumentally decline to invest further in a signal with no fiscal payoff. The combination is the most precise statement of the room-to-manoeuvre argument: fiscal compulsion reaches Step 2 but stops at Step 4.</w:t>
      </w:r>
    </w:p>
    <w:p w14:paraId="54FF4A4E" w14:textId="77777777" w:rsidR="007868E0" w:rsidRDefault="007868E0">
      <w:pPr>
        <w:spacing w:after="160"/>
      </w:pPr>
    </w:p>
    <w:p w14:paraId="60D27B4F" w14:textId="77777777" w:rsidR="007868E0" w:rsidRDefault="00000000">
      <w:pPr>
        <w:pStyle w:val="Heading2"/>
      </w:pPr>
      <w:r>
        <w:t>Primary Independent Variables of Interest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6"/>
        <w:gridCol w:w="6174"/>
      </w:tblGrid>
      <w:tr w:rsidR="007868E0" w14:paraId="7E1AC96F"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D171E6" w14:textId="77777777" w:rsidR="007868E0" w:rsidRDefault="00000000">
            <w:r>
              <w:rPr>
                <w:b/>
                <w:bCs/>
                <w:color w:val="FFFFFF"/>
                <w:sz w:val="20"/>
                <w:szCs w:val="20"/>
              </w:rPr>
              <w:t>Variable</w:t>
            </w:r>
          </w:p>
        </w:tc>
        <w:tc>
          <w:tcPr>
            <w:tcW w:w="7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20" w:type="dxa"/>
            </w:tcMar>
          </w:tcPr>
          <w:p w14:paraId="4F0B431F" w14:textId="77777777" w:rsidR="007868E0" w:rsidRDefault="00000000">
            <w:r>
              <w:rPr>
                <w:b/>
                <w:bCs/>
                <w:color w:val="FFFFFF"/>
                <w:sz w:val="20"/>
                <w:szCs w:val="20"/>
              </w:rPr>
              <w:t>Role and Source</w:t>
            </w:r>
          </w:p>
        </w:tc>
      </w:tr>
      <w:tr w:rsidR="007868E0" w14:paraId="4607A7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AEAAF9" w14:textId="77777777" w:rsidR="007868E0" w:rsidRDefault="00000000">
            <w:r>
              <w:rPr>
                <w:b/>
                <w:bCs/>
                <w:color w:val="1F3864"/>
                <w:sz w:val="20"/>
                <w:szCs w:val="20"/>
              </w:rPr>
              <w:t>npdes_formal_prior3yr_muni</w:t>
            </w:r>
          </w:p>
        </w:tc>
        <w:tc>
          <w:tcPr>
            <w:tcW w:w="7360" w:type="dxa"/>
            <w:tcBorders>
              <w:top w:val="single" w:sz="1" w:space="0" w:color="CCCCCC"/>
              <w:left w:val="single" w:sz="1" w:space="0" w:color="CCCCCC"/>
              <w:bottom w:val="single" w:sz="1" w:space="0" w:color="CCCCCC"/>
              <w:right w:val="single" w:sz="1" w:space="0" w:color="CCCCCC"/>
            </w:tcBorders>
            <w:shd w:val="clear" w:color="auto" w:fill="FAFBFD"/>
            <w:tcMar>
              <w:top w:w="80" w:type="dxa"/>
              <w:left w:w="140" w:type="dxa"/>
              <w:bottom w:w="80" w:type="dxa"/>
              <w:right w:w="120" w:type="dxa"/>
            </w:tcMar>
          </w:tcPr>
          <w:p w14:paraId="1BE1F1D8" w14:textId="77777777" w:rsidR="007868E0" w:rsidRDefault="00000000">
            <w:r>
              <w:rPr>
                <w:sz w:val="20"/>
                <w:szCs w:val="20"/>
              </w:rPr>
              <w:t>PRIMARY compulsion variable. Rolling 3-year stock of NPDES formal enforcement actions against city-owned water/sewer facilities. Source: EPA ECHO, municipal ownership tier. EPA enforcement file: city_year_epa_enforcement_expanded_20260407_125920.csv.</w:t>
            </w:r>
          </w:p>
        </w:tc>
      </w:tr>
      <w:tr w:rsidR="007868E0" w14:paraId="03D70E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2EB9CC75" w14:textId="77777777" w:rsidR="007868E0" w:rsidRDefault="00000000">
            <w:r>
              <w:rPr>
                <w:b/>
                <w:bCs/>
                <w:color w:val="1F3864"/>
                <w:sz w:val="20"/>
                <w:szCs w:val="20"/>
              </w:rPr>
              <w:t>npdes_formal_prior3yr_locgov</w:t>
            </w:r>
          </w:p>
        </w:tc>
        <w:tc>
          <w:tcPr>
            <w:tcW w:w="73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40" w:type="dxa"/>
              <w:bottom w:w="80" w:type="dxa"/>
              <w:right w:w="120" w:type="dxa"/>
            </w:tcMar>
          </w:tcPr>
          <w:p w14:paraId="28E56817" w14:textId="77777777" w:rsidR="007868E0" w:rsidRDefault="00000000">
            <w:r>
              <w:rPr>
                <w:sz w:val="20"/>
                <w:szCs w:val="20"/>
              </w:rPr>
              <w:t>Locgov supplement. Adds water/sewer district facilities (MWRD, EBMUD, WSSC etc.). Appendix D Col 1.</w:t>
            </w:r>
          </w:p>
        </w:tc>
      </w:tr>
      <w:tr w:rsidR="007868E0" w14:paraId="5FEC00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42DE70" w14:textId="77777777" w:rsidR="007868E0" w:rsidRDefault="00000000">
            <w:r>
              <w:rPr>
                <w:b/>
                <w:bCs/>
                <w:color w:val="1F3864"/>
                <w:sz w:val="20"/>
                <w:szCs w:val="20"/>
              </w:rPr>
              <w:t>npdes_formal_prior3yr_private</w:t>
            </w:r>
          </w:p>
        </w:tc>
        <w:tc>
          <w:tcPr>
            <w:tcW w:w="7360" w:type="dxa"/>
            <w:tcBorders>
              <w:top w:val="single" w:sz="1" w:space="0" w:color="CCCCCC"/>
              <w:left w:val="single" w:sz="1" w:space="0" w:color="CCCCCC"/>
              <w:bottom w:val="single" w:sz="1" w:space="0" w:color="CCCCCC"/>
              <w:right w:val="single" w:sz="1" w:space="0" w:color="CCCCCC"/>
            </w:tcBorders>
            <w:shd w:val="clear" w:color="auto" w:fill="FAFBFD"/>
            <w:tcMar>
              <w:top w:w="80" w:type="dxa"/>
              <w:left w:w="140" w:type="dxa"/>
              <w:bottom w:w="80" w:type="dxa"/>
              <w:right w:w="120" w:type="dxa"/>
            </w:tcMar>
          </w:tcPr>
          <w:p w14:paraId="5C5C6719" w14:textId="77777777" w:rsidR="007868E0" w:rsidRDefault="00000000">
            <w:r>
              <w:rPr>
                <w:sz w:val="20"/>
                <w:szCs w:val="20"/>
              </w:rPr>
              <w:t>PLACEBO. Private facility enforcement. Expected null. Identifies general regulatory intensity confound. Appendix D Col 2.</w:t>
            </w:r>
          </w:p>
        </w:tc>
      </w:tr>
      <w:tr w:rsidR="007868E0" w14:paraId="38DD64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7BC9CD21" w14:textId="77777777" w:rsidR="007868E0" w:rsidRDefault="00000000">
            <w:r>
              <w:rPr>
                <w:b/>
                <w:bCs/>
                <w:color w:val="1F3864"/>
                <w:sz w:val="20"/>
                <w:szCs w:val="20"/>
              </w:rPr>
              <w:t>charges_to_own_source</w:t>
            </w:r>
          </w:p>
        </w:tc>
        <w:tc>
          <w:tcPr>
            <w:tcW w:w="73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40" w:type="dxa"/>
              <w:bottom w:w="80" w:type="dxa"/>
              <w:right w:w="120" w:type="dxa"/>
            </w:tcMar>
          </w:tcPr>
          <w:p w14:paraId="07CF5ADC" w14:textId="77777777" w:rsidR="007868E0" w:rsidRDefault="00000000">
            <w:r>
              <w:rPr>
                <w:sz w:val="20"/>
                <w:szCs w:val="20"/>
              </w:rPr>
              <w:t>Enterprise fund depth. Revenue self-sufficiency measure from GFOA/Census.</w:t>
            </w:r>
          </w:p>
        </w:tc>
      </w:tr>
      <w:tr w:rsidR="007868E0" w14:paraId="69C072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6E970E" w14:textId="77777777" w:rsidR="007868E0" w:rsidRDefault="00000000">
            <w:r>
              <w:rPr>
                <w:b/>
                <w:bCs/>
                <w:color w:val="1F3864"/>
                <w:sz w:val="20"/>
                <w:szCs w:val="20"/>
              </w:rPr>
              <w:t>reserve_ratio_lag2</w:t>
            </w:r>
          </w:p>
        </w:tc>
        <w:tc>
          <w:tcPr>
            <w:tcW w:w="7360" w:type="dxa"/>
            <w:tcBorders>
              <w:top w:val="single" w:sz="1" w:space="0" w:color="CCCCCC"/>
              <w:left w:val="single" w:sz="1" w:space="0" w:color="CCCCCC"/>
              <w:bottom w:val="single" w:sz="1" w:space="0" w:color="CCCCCC"/>
              <w:right w:val="single" w:sz="1" w:space="0" w:color="CCCCCC"/>
            </w:tcBorders>
            <w:shd w:val="clear" w:color="auto" w:fill="FAFBFD"/>
            <w:tcMar>
              <w:top w:w="80" w:type="dxa"/>
              <w:left w:w="140" w:type="dxa"/>
              <w:bottom w:w="80" w:type="dxa"/>
              <w:right w:w="120" w:type="dxa"/>
            </w:tcMar>
          </w:tcPr>
          <w:p w14:paraId="4DA5B93F" w14:textId="77777777" w:rsidR="007868E0" w:rsidRDefault="00000000">
            <w:r>
              <w:rPr>
                <w:sz w:val="20"/>
                <w:szCs w:val="20"/>
              </w:rPr>
              <w:t>Fiscal capacity gate. Lagged 2 years.</w:t>
            </w:r>
          </w:p>
        </w:tc>
      </w:tr>
      <w:tr w:rsidR="007868E0" w14:paraId="014396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16F40B23" w14:textId="77777777" w:rsidR="007868E0" w:rsidRDefault="00000000">
            <w:r>
              <w:rPr>
                <w:b/>
                <w:bCs/>
                <w:color w:val="1F3864"/>
                <w:sz w:val="20"/>
                <w:szCs w:val="20"/>
              </w:rPr>
              <w:t>tel_stringency_normalized</w:t>
            </w:r>
          </w:p>
        </w:tc>
        <w:tc>
          <w:tcPr>
            <w:tcW w:w="73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40" w:type="dxa"/>
              <w:bottom w:w="80" w:type="dxa"/>
              <w:right w:w="120" w:type="dxa"/>
            </w:tcMar>
          </w:tcPr>
          <w:p w14:paraId="2B5BF144" w14:textId="77777777" w:rsidR="007868E0" w:rsidRDefault="00000000">
            <w:r>
              <w:rPr>
                <w:sz w:val="20"/>
                <w:szCs w:val="20"/>
              </w:rPr>
              <w:t>Fiscal constitutional compulsion. TEL stringency index.</w:t>
            </w:r>
          </w:p>
        </w:tc>
      </w:tr>
      <w:tr w:rsidR="007868E0" w14:paraId="61AFD1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EB833D" w14:textId="77777777" w:rsidR="007868E0" w:rsidRDefault="00000000">
            <w:r>
              <w:rPr>
                <w:b/>
                <w:bCs/>
                <w:color w:val="1F3864"/>
                <w:sz w:val="20"/>
                <w:szCs w:val="20"/>
              </w:rPr>
              <w:t>log_cwsrf_obligations_lag2</w:t>
            </w:r>
          </w:p>
        </w:tc>
        <w:tc>
          <w:tcPr>
            <w:tcW w:w="7360" w:type="dxa"/>
            <w:tcBorders>
              <w:top w:val="single" w:sz="1" w:space="0" w:color="CCCCCC"/>
              <w:left w:val="single" w:sz="1" w:space="0" w:color="CCCCCC"/>
              <w:bottom w:val="single" w:sz="1" w:space="0" w:color="CCCCCC"/>
              <w:right w:val="single" w:sz="1" w:space="0" w:color="CCCCCC"/>
            </w:tcBorders>
            <w:shd w:val="clear" w:color="auto" w:fill="FAFBFD"/>
            <w:tcMar>
              <w:top w:w="80" w:type="dxa"/>
              <w:left w:w="140" w:type="dxa"/>
              <w:bottom w:w="80" w:type="dxa"/>
              <w:right w:w="120" w:type="dxa"/>
            </w:tcMar>
          </w:tcPr>
          <w:p w14:paraId="1E1689C3" w14:textId="77777777" w:rsidR="007868E0" w:rsidRDefault="00000000">
            <w:r>
              <w:rPr>
                <w:sz w:val="20"/>
                <w:szCs w:val="20"/>
              </w:rPr>
              <w:t>State SRF programme depth control. Federal CWSRF capitalisation grants to state, log-transformed, lagged 2 fiscal years. Source: USASpending. Replaces temporally contaminated srf_received_any.</w:t>
            </w:r>
          </w:p>
        </w:tc>
      </w:tr>
      <w:tr w:rsidR="007868E0" w14:paraId="3EBC49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3107BA6D" w14:textId="77777777" w:rsidR="007868E0" w:rsidRDefault="00000000">
            <w:r>
              <w:rPr>
                <w:b/>
                <w:bCs/>
                <w:color w:val="1F3864"/>
                <w:sz w:val="20"/>
                <w:szCs w:val="20"/>
              </w:rPr>
              <w:t>Rep_Mayor</w:t>
            </w:r>
          </w:p>
        </w:tc>
        <w:tc>
          <w:tcPr>
            <w:tcW w:w="73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40" w:type="dxa"/>
              <w:bottom w:w="80" w:type="dxa"/>
              <w:right w:w="120" w:type="dxa"/>
            </w:tcMar>
          </w:tcPr>
          <w:p w14:paraId="1087A471" w14:textId="77777777" w:rsidR="007868E0" w:rsidRDefault="00000000">
            <w:r>
              <w:rPr>
                <w:sz w:val="20"/>
                <w:szCs w:val="20"/>
              </w:rPr>
              <w:t>EXPECTED NULL (H1b). Binary mayoral partisanship, lag 1.</w:t>
            </w:r>
          </w:p>
        </w:tc>
      </w:tr>
    </w:tbl>
    <w:p w14:paraId="58590A20" w14:textId="77777777" w:rsidR="007868E0" w:rsidRDefault="007868E0">
      <w:pPr>
        <w:spacing w:after="160"/>
      </w:pPr>
    </w:p>
    <w:p w14:paraId="6AE64451" w14:textId="77777777" w:rsidR="007868E0" w:rsidRDefault="00000000">
      <w:pPr>
        <w:pStyle w:val="Heading2"/>
      </w:pPr>
      <w:r>
        <w:t>Controls and Fixed Effects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868E0" w14:paraId="45117068"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D7B756" w14:textId="77777777" w:rsidR="007868E0" w:rsidRDefault="00000000">
            <w:r>
              <w:rPr>
                <w:b/>
                <w:bCs/>
                <w:color w:val="FFFFFF"/>
                <w:sz w:val="20"/>
                <w:szCs w:val="20"/>
              </w:rPr>
              <w:t>Category</w:t>
            </w:r>
          </w:p>
        </w:tc>
        <w:tc>
          <w:tcPr>
            <w:tcW w:w="7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20" w:type="dxa"/>
            </w:tcMar>
          </w:tcPr>
          <w:p w14:paraId="54A124E6" w14:textId="77777777" w:rsidR="007868E0" w:rsidRDefault="00000000">
            <w:r>
              <w:rPr>
                <w:b/>
                <w:bCs/>
                <w:color w:val="FFFFFF"/>
                <w:sz w:val="20"/>
                <w:szCs w:val="20"/>
              </w:rPr>
              <w:t>Variables</w:t>
            </w:r>
          </w:p>
        </w:tc>
      </w:tr>
      <w:tr w:rsidR="007868E0" w14:paraId="79CC2C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12325A" w14:textId="77777777" w:rsidR="007868E0" w:rsidRDefault="00000000">
            <w:r>
              <w:rPr>
                <w:b/>
                <w:bCs/>
                <w:color w:val="1F3864"/>
                <w:sz w:val="20"/>
                <w:szCs w:val="20"/>
              </w:rPr>
              <w:t>City controls</w:t>
            </w:r>
          </w:p>
        </w:tc>
        <w:tc>
          <w:tcPr>
            <w:tcW w:w="7360" w:type="dxa"/>
            <w:tcBorders>
              <w:top w:val="single" w:sz="1" w:space="0" w:color="CCCCCC"/>
              <w:left w:val="single" w:sz="1" w:space="0" w:color="CCCCCC"/>
              <w:bottom w:val="single" w:sz="1" w:space="0" w:color="CCCCCC"/>
              <w:right w:val="single" w:sz="1" w:space="0" w:color="CCCCCC"/>
            </w:tcBorders>
            <w:shd w:val="clear" w:color="auto" w:fill="FAFBFD"/>
            <w:tcMar>
              <w:top w:w="80" w:type="dxa"/>
              <w:left w:w="140" w:type="dxa"/>
              <w:bottom w:w="80" w:type="dxa"/>
              <w:right w:w="120" w:type="dxa"/>
            </w:tcMar>
          </w:tcPr>
          <w:p w14:paraId="5A22881A" w14:textId="77777777" w:rsidR="007868E0" w:rsidRDefault="00000000">
            <w:r>
              <w:rPr>
                <w:sz w:val="20"/>
                <w:szCs w:val="20"/>
              </w:rPr>
              <w:t>log_population_city_lag2, log_percapita_income_city_lag2, unemployment_city_lag2, cwns_needs_real_lag2, pct_deficient_lag2, has_substitute_issuer</w:t>
            </w:r>
          </w:p>
        </w:tc>
      </w:tr>
      <w:tr w:rsidR="007868E0" w14:paraId="634B55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28CF6466" w14:textId="77777777" w:rsidR="007868E0" w:rsidRDefault="00000000">
            <w:r>
              <w:rPr>
                <w:b/>
                <w:bCs/>
                <w:color w:val="1F3864"/>
                <w:sz w:val="20"/>
                <w:szCs w:val="20"/>
              </w:rPr>
              <w:lastRenderedPageBreak/>
              <w:t>State institutional</w:t>
            </w:r>
          </w:p>
        </w:tc>
        <w:tc>
          <w:tcPr>
            <w:tcW w:w="73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40" w:type="dxa"/>
              <w:bottom w:w="80" w:type="dxa"/>
              <w:right w:w="120" w:type="dxa"/>
            </w:tcMar>
          </w:tcPr>
          <w:p w14:paraId="374B6AC2" w14:textId="77777777" w:rsidR="007868E0" w:rsidRDefault="00000000">
            <w:r>
              <w:rPr>
                <w:sz w:val="20"/>
                <w:szCs w:val="20"/>
              </w:rPr>
              <w:t>state_green_bond_ever_lag1, esg_has_muni_bond_law, state_rep_trifecta</w:t>
            </w:r>
          </w:p>
        </w:tc>
      </w:tr>
      <w:tr w:rsidR="007868E0" w14:paraId="371E38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27F563" w14:textId="77777777" w:rsidR="007868E0" w:rsidRDefault="00000000">
            <w:r>
              <w:rPr>
                <w:b/>
                <w:bCs/>
                <w:color w:val="1F3864"/>
                <w:sz w:val="20"/>
                <w:szCs w:val="20"/>
              </w:rPr>
              <w:t>Fixed effects</w:t>
            </w:r>
          </w:p>
        </w:tc>
        <w:tc>
          <w:tcPr>
            <w:tcW w:w="7360" w:type="dxa"/>
            <w:tcBorders>
              <w:top w:val="single" w:sz="1" w:space="0" w:color="CCCCCC"/>
              <w:left w:val="single" w:sz="1" w:space="0" w:color="CCCCCC"/>
              <w:bottom w:val="single" w:sz="1" w:space="0" w:color="CCCCCC"/>
              <w:right w:val="single" w:sz="1" w:space="0" w:color="CCCCCC"/>
            </w:tcBorders>
            <w:shd w:val="clear" w:color="auto" w:fill="FAFBFD"/>
            <w:tcMar>
              <w:top w:w="80" w:type="dxa"/>
              <w:left w:w="140" w:type="dxa"/>
              <w:bottom w:w="80" w:type="dxa"/>
              <w:right w:w="120" w:type="dxa"/>
            </w:tcMar>
          </w:tcPr>
          <w:p w14:paraId="03FDB53B" w14:textId="77777777" w:rsidR="007868E0" w:rsidRDefault="00000000">
            <w:r>
              <w:rPr>
                <w:sz w:val="20"/>
                <w:szCs w:val="20"/>
              </w:rPr>
              <w:t>State + year in all main specifications</w:t>
            </w:r>
          </w:p>
        </w:tc>
      </w:tr>
      <w:tr w:rsidR="007868E0" w14:paraId="4C662B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1D78DC2B" w14:textId="77777777" w:rsidR="007868E0" w:rsidRDefault="00000000">
            <w:r>
              <w:rPr>
                <w:b/>
                <w:bCs/>
                <w:color w:val="1F3864"/>
                <w:sz w:val="20"/>
                <w:szCs w:val="20"/>
              </w:rPr>
              <w:t>Standard errors</w:t>
            </w:r>
          </w:p>
        </w:tc>
        <w:tc>
          <w:tcPr>
            <w:tcW w:w="73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40" w:type="dxa"/>
              <w:bottom w:w="80" w:type="dxa"/>
              <w:right w:w="120" w:type="dxa"/>
            </w:tcMar>
          </w:tcPr>
          <w:p w14:paraId="40A31B96" w14:textId="77777777" w:rsidR="007868E0" w:rsidRDefault="00000000">
            <w:r>
              <w:rPr>
                <w:sz w:val="20"/>
                <w:szCs w:val="20"/>
              </w:rPr>
              <w:t>Clustered at city level</w:t>
            </w:r>
          </w:p>
        </w:tc>
      </w:tr>
      <w:tr w:rsidR="007868E0" w14:paraId="28EC1A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A55733" w14:textId="77777777" w:rsidR="007868E0" w:rsidRDefault="00000000">
            <w:r>
              <w:rPr>
                <w:b/>
                <w:bCs/>
                <w:color w:val="1F3864"/>
                <w:sz w:val="20"/>
                <w:szCs w:val="20"/>
              </w:rPr>
              <w:t>Sample</w:t>
            </w:r>
          </w:p>
        </w:tc>
        <w:tc>
          <w:tcPr>
            <w:tcW w:w="7360" w:type="dxa"/>
            <w:tcBorders>
              <w:top w:val="single" w:sz="1" w:space="0" w:color="CCCCCC"/>
              <w:left w:val="single" w:sz="1" w:space="0" w:color="CCCCCC"/>
              <w:bottom w:val="single" w:sz="1" w:space="0" w:color="CCCCCC"/>
              <w:right w:val="single" w:sz="1" w:space="0" w:color="CCCCCC"/>
            </w:tcBorders>
            <w:shd w:val="clear" w:color="auto" w:fill="FAFBFD"/>
            <w:tcMar>
              <w:top w:w="80" w:type="dxa"/>
              <w:left w:w="140" w:type="dxa"/>
              <w:bottom w:w="80" w:type="dxa"/>
              <w:right w:w="120" w:type="dxa"/>
            </w:tcMar>
          </w:tcPr>
          <w:p w14:paraId="100EF57B" w14:textId="77777777" w:rsidR="007868E0" w:rsidRDefault="00000000">
            <w:r>
              <w:rPr>
                <w:sz w:val="20"/>
                <w:szCs w:val="20"/>
              </w:rPr>
              <w:t>~5,056–5,064 city-years; 576 cities; 2013–2025</w:t>
            </w:r>
          </w:p>
        </w:tc>
      </w:tr>
    </w:tbl>
    <w:p w14:paraId="04CBBC0E" w14:textId="77777777" w:rsidR="007868E0" w:rsidRDefault="007868E0">
      <w:pPr>
        <w:spacing w:after="160"/>
      </w:pPr>
    </w:p>
    <w:p w14:paraId="16FA1950" w14:textId="77777777" w:rsidR="007868E0" w:rsidRDefault="00000000">
      <w:pPr>
        <w:pStyle w:val="Heading2"/>
      </w:pPr>
      <w:r>
        <w:t>Falsification and Robustness</w:t>
      </w:r>
    </w:p>
    <w:p w14:paraId="13A9DCB2" w14:textId="77777777" w:rsidR="007868E0" w:rsidRDefault="00000000">
      <w:pPr>
        <w:pStyle w:val="ListParagraph"/>
        <w:numPr>
          <w:ilvl w:val="0"/>
          <w:numId w:val="2"/>
        </w:numPr>
        <w:spacing w:before="40" w:after="40"/>
      </w:pPr>
      <w:r>
        <w:rPr>
          <w:sz w:val="21"/>
          <w:szCs w:val="21"/>
        </w:rPr>
        <w:t>Table note: npdes_formal_prior3yr_muni on Y_clean_trans and Y_renewable — expected null (enforcement compulsion is water-specific, not general)</w:t>
      </w:r>
    </w:p>
    <w:p w14:paraId="768448D7" w14:textId="77777777" w:rsidR="007868E0" w:rsidRDefault="00000000">
      <w:pPr>
        <w:pStyle w:val="ListParagraph"/>
        <w:numPr>
          <w:ilvl w:val="0"/>
          <w:numId w:val="2"/>
        </w:numPr>
        <w:spacing w:before="40" w:after="40"/>
      </w:pPr>
      <w:r>
        <w:rPr>
          <w:sz w:val="21"/>
          <w:szCs w:val="21"/>
        </w:rPr>
        <w:t>Appendix D: three ownership-tier robustness columns — _muni (primary), _locgov (supplement), _private (placebo)</w:t>
      </w:r>
    </w:p>
    <w:p w14:paraId="4BEB5871" w14:textId="77777777" w:rsidR="007868E0" w:rsidRDefault="00000000">
      <w:pPr>
        <w:pStyle w:val="ListParagraph"/>
        <w:numPr>
          <w:ilvl w:val="0"/>
          <w:numId w:val="2"/>
        </w:numPr>
        <w:spacing w:before="40" w:after="40"/>
      </w:pPr>
      <w:r>
        <w:rPr>
          <w:sz w:val="21"/>
          <w:szCs w:val="21"/>
        </w:rPr>
        <w:t>Appendix D: case_jdc_prior3yr_muni replacing NPDES as consent decree robustness check (89 nonzero city-years)</w:t>
      </w:r>
    </w:p>
    <w:p w14:paraId="1EACB5F4" w14:textId="77777777" w:rsidR="007868E0" w:rsidRDefault="007868E0">
      <w:pPr>
        <w:spacing w:after="200"/>
      </w:pPr>
    </w:p>
    <w:p w14:paraId="62CD0F61" w14:textId="77777777" w:rsidR="007868E0" w:rsidRDefault="00000000">
      <w:pPr>
        <w:pStyle w:val="Heading1"/>
        <w:pBdr>
          <w:bottom w:val="single" w:sz="8" w:space="4" w:color="1F3864"/>
        </w:pBdr>
      </w:pPr>
      <w:r>
        <w:t>Table 2 — The Compositional Gap and the Compulsion Gradient</w:t>
      </w:r>
    </w:p>
    <w:p w14:paraId="6FD3EFDA" w14:textId="77777777" w:rsidR="007868E0" w:rsidRDefault="007868E0">
      <w:pPr>
        <w:spacing w:after="40"/>
      </w:pPr>
    </w:p>
    <w:p w14:paraId="30A56273" w14:textId="77777777" w:rsidR="007868E0" w:rsidRDefault="00000000">
      <w:pPr>
        <w:spacing w:before="80" w:after="120"/>
      </w:pPr>
      <w:r>
        <w:rPr>
          <w:b/>
          <w:bCs/>
          <w:color w:val="000000"/>
        </w:rPr>
        <w:t xml:space="preserve">Hypothesis tested: </w:t>
      </w:r>
      <w:r>
        <w:rPr>
          <w:color w:val="000000"/>
        </w:rPr>
        <w:t>H2a (the partisan gap increases monotonically as compulsion decreases across use-of-proceeds categories).</w:t>
      </w:r>
    </w:p>
    <w:p w14:paraId="53BEB0F7" w14:textId="77777777" w:rsidR="007868E0" w:rsidRDefault="00000000">
      <w:pPr>
        <w:pStyle w:val="Heading2"/>
      </w:pPr>
      <w:r>
        <w:t>Logic</w:t>
      </w:r>
    </w:p>
    <w:p w14:paraId="5597CFBE" w14:textId="77777777" w:rsidR="007868E0" w:rsidRDefault="00000000">
      <w:pPr>
        <w:spacing w:before="80" w:after="100"/>
      </w:pPr>
      <w:r>
        <w:rPr>
          <w:color w:val="000000"/>
        </w:rPr>
        <w:t>Table 2 is entirely about the compulsion gradient. The claim is that the partisan gap in green bond participation increases monotonically as external compulsion decreases across categories. In the fully compelled category — water and sewer infrastructure under EPA enforcement — Rep_Mayor is null. In the fully discretionary categories — clean transportation, renewables, energy efficiency, green buildings — Republican participation is zero or near-zero.</w:t>
      </w:r>
    </w:p>
    <w:p w14:paraId="3C0987F6" w14:textId="77777777" w:rsidR="007868E0" w:rsidRDefault="00000000">
      <w:pPr>
        <w:spacing w:before="80" w:after="120"/>
      </w:pPr>
      <w:r>
        <w:rPr>
          <w:color w:val="000000"/>
        </w:rPr>
        <w:t>What makes this more than a descriptive finding is that the gradient tracks the compulsion intensity ranking independently of partisanship. You are not merely showing that Republicans avoid certain categories — you are showing that the categories Republicans avoid are precisely the ones where no enforcement analogue to the NPDES formal action exists. The monotonic relationship between compulsion strength and partisan gap is the empirical test of the Mosley room-to-manoeuvre argument applied across categories: where structural constraints are tightest, the room is smallest and partisan identity cannot express itself; where constraints are absent, the room is fully occupied by partisan preferences.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8E0" w14:paraId="41B96555" w14:textId="77777777">
        <w:tblPrEx>
          <w:tblCellMar>
            <w:top w:w="0" w:type="dxa"/>
            <w:bottom w:w="0" w:type="dxa"/>
          </w:tblCellMar>
        </w:tblPrEx>
        <w:tc>
          <w:tcPr>
            <w:tcW w:w="0" w:type="auto"/>
            <w:tcBorders>
              <w:top w:val="single" w:sz="4" w:space="0" w:color="E8A800"/>
              <w:left w:val="single" w:sz="12" w:space="0" w:color="E8A800"/>
              <w:bottom w:val="single" w:sz="4" w:space="0" w:color="E8A800"/>
              <w:right w:val="single" w:sz="4" w:space="0" w:color="E8A800"/>
            </w:tcBorders>
            <w:shd w:val="clear" w:color="auto" w:fill="FFFBEE"/>
            <w:tcMar>
              <w:top w:w="100" w:type="dxa"/>
              <w:left w:w="160" w:type="dxa"/>
              <w:bottom w:w="100" w:type="dxa"/>
              <w:right w:w="160" w:type="dxa"/>
            </w:tcMar>
          </w:tcPr>
          <w:p w14:paraId="54B1BD56" w14:textId="77777777" w:rsidR="007868E0" w:rsidRDefault="00000000">
            <w:r>
              <w:rPr>
                <w:i/>
                <w:iCs/>
                <w:color w:val="5C4A00"/>
                <w:sz w:val="20"/>
                <w:szCs w:val="20"/>
              </w:rPr>
              <w:t>Table 2 is preceded in the paper by a compulsion gradient figure — participation rates by party plotted against compulsion strength for each category. This figure makes the cliff edge from near-equal water participation to zero Republican non-water participation immediately visible before the regression. The regression then confirms it holds conditional on the full covariate vector.</w:t>
            </w:r>
          </w:p>
        </w:tc>
      </w:tr>
    </w:tbl>
    <w:p w14:paraId="00714699" w14:textId="77777777" w:rsidR="007868E0" w:rsidRDefault="007868E0">
      <w:pPr>
        <w:spacing w:after="120"/>
      </w:pPr>
    </w:p>
    <w:p w14:paraId="14AE1175" w14:textId="77777777" w:rsidR="007868E0" w:rsidRDefault="00000000">
      <w:pPr>
        <w:pStyle w:val="Heading2"/>
      </w:pPr>
      <w:r>
        <w:t>Structure: Eight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8"/>
        <w:gridCol w:w="7242"/>
      </w:tblGrid>
      <w:tr w:rsidR="007868E0" w14:paraId="41F7817E"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E07FFB" w14:textId="77777777" w:rsidR="007868E0" w:rsidRDefault="00000000">
            <w:r>
              <w:rPr>
                <w:b/>
                <w:bCs/>
                <w:color w:val="FFFFFF"/>
                <w:sz w:val="20"/>
                <w:szCs w:val="20"/>
              </w:rPr>
              <w:lastRenderedPageBreak/>
              <w:t>Column</w:t>
            </w:r>
          </w:p>
        </w:tc>
        <w:tc>
          <w:tcPr>
            <w:tcW w:w="7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20" w:type="dxa"/>
            </w:tcMar>
          </w:tcPr>
          <w:p w14:paraId="639ABAA7" w14:textId="77777777" w:rsidR="007868E0" w:rsidRDefault="00000000">
            <w:r>
              <w:rPr>
                <w:b/>
                <w:bCs/>
                <w:color w:val="FFFFFF"/>
                <w:sz w:val="20"/>
                <w:szCs w:val="20"/>
              </w:rPr>
              <w:t>Outcome, Compulsion Level, and Expected Result</w:t>
            </w:r>
          </w:p>
        </w:tc>
      </w:tr>
      <w:tr w:rsidR="007868E0" w14:paraId="7E3CB0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2F9D08" w14:textId="77777777" w:rsidR="007868E0" w:rsidRDefault="00000000">
            <w:r>
              <w:rPr>
                <w:b/>
                <w:bCs/>
                <w:color w:val="1F3864"/>
                <w:sz w:val="20"/>
                <w:szCs w:val="20"/>
              </w:rPr>
              <w:t>Col 1: Y_water_only</w:t>
            </w:r>
          </w:p>
        </w:tc>
        <w:tc>
          <w:tcPr>
            <w:tcW w:w="7360" w:type="dxa"/>
            <w:tcBorders>
              <w:top w:val="single" w:sz="1" w:space="0" w:color="CCCCCC"/>
              <w:left w:val="single" w:sz="1" w:space="0" w:color="CCCCCC"/>
              <w:bottom w:val="single" w:sz="1" w:space="0" w:color="CCCCCC"/>
              <w:right w:val="single" w:sz="1" w:space="0" w:color="CCCCCC"/>
            </w:tcBorders>
            <w:shd w:val="clear" w:color="auto" w:fill="FAFBFD"/>
            <w:tcMar>
              <w:top w:w="80" w:type="dxa"/>
              <w:left w:w="140" w:type="dxa"/>
              <w:bottom w:w="80" w:type="dxa"/>
              <w:right w:w="120" w:type="dxa"/>
            </w:tcMar>
          </w:tcPr>
          <w:p w14:paraId="70A82913" w14:textId="77777777" w:rsidR="007868E0" w:rsidRDefault="00000000">
            <w:r>
              <w:rPr>
                <w:sz w:val="20"/>
                <w:szCs w:val="20"/>
              </w:rPr>
              <w:t>Fully compelled. Rep_Mayor expected null. Category-specific compulsion control: npdes_formal_prior3yr_muni. This column replicates Table 1 H1b within the category-specific sample to anchor the gradient at zero partisan gap.</w:t>
            </w:r>
          </w:p>
        </w:tc>
      </w:tr>
      <w:tr w:rsidR="007868E0" w14:paraId="67C9D5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79535AA0" w14:textId="77777777" w:rsidR="007868E0" w:rsidRDefault="00000000">
            <w:r>
              <w:rPr>
                <w:b/>
                <w:bCs/>
                <w:color w:val="1F3864"/>
                <w:sz w:val="20"/>
                <w:szCs w:val="20"/>
              </w:rPr>
              <w:t>Col 2: Y_clean_trans</w:t>
            </w:r>
          </w:p>
        </w:tc>
        <w:tc>
          <w:tcPr>
            <w:tcW w:w="73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40" w:type="dxa"/>
              <w:bottom w:w="80" w:type="dxa"/>
              <w:right w:w="120" w:type="dxa"/>
            </w:tcMar>
          </w:tcPr>
          <w:p w14:paraId="0DC8B4B9" w14:textId="77777777" w:rsidR="007868E0" w:rsidRDefault="00000000">
            <w:r>
              <w:rPr>
                <w:sz w:val="20"/>
                <w:szCs w:val="20"/>
              </w:rPr>
              <w:t>Moderately compelled via federal match and ADA/NEPA requirements. Rep_Mayor expected negative. Category controls: highways_expend, state_fta_per_capita.</w:t>
            </w:r>
          </w:p>
        </w:tc>
      </w:tr>
      <w:tr w:rsidR="007868E0" w14:paraId="1CA954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1B1274" w14:textId="77777777" w:rsidR="007868E0" w:rsidRDefault="00000000">
            <w:r>
              <w:rPr>
                <w:b/>
                <w:bCs/>
                <w:color w:val="1F3864"/>
                <w:sz w:val="20"/>
                <w:szCs w:val="20"/>
              </w:rPr>
              <w:t>Col 3: Y_renewable</w:t>
            </w:r>
          </w:p>
        </w:tc>
        <w:tc>
          <w:tcPr>
            <w:tcW w:w="7360" w:type="dxa"/>
            <w:tcBorders>
              <w:top w:val="single" w:sz="1" w:space="0" w:color="CCCCCC"/>
              <w:left w:val="single" w:sz="1" w:space="0" w:color="CCCCCC"/>
              <w:bottom w:val="single" w:sz="1" w:space="0" w:color="CCCCCC"/>
              <w:right w:val="single" w:sz="1" w:space="0" w:color="CCCCCC"/>
            </w:tcBorders>
            <w:shd w:val="clear" w:color="auto" w:fill="FAFBFD"/>
            <w:tcMar>
              <w:top w:w="80" w:type="dxa"/>
              <w:left w:w="140" w:type="dxa"/>
              <w:bottom w:w="80" w:type="dxa"/>
              <w:right w:w="120" w:type="dxa"/>
            </w:tcMar>
          </w:tcPr>
          <w:p w14:paraId="3A9FB9D8" w14:textId="77777777" w:rsidR="007868E0" w:rsidRDefault="00000000">
            <w:r>
              <w:rPr>
                <w:sz w:val="20"/>
                <w:szCs w:val="20"/>
              </w:rPr>
              <w:t>Compelled only within 82-city municipal utility subsample. Rep_Mayor expected negative within that risk set. Category control: has_municipal_electric (EIA Form 861), state_rps_target_pct expected null.</w:t>
            </w:r>
          </w:p>
        </w:tc>
      </w:tr>
      <w:tr w:rsidR="007868E0" w14:paraId="5884A3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27274BAA" w14:textId="77777777" w:rsidR="007868E0" w:rsidRDefault="00000000">
            <w:r>
              <w:rPr>
                <w:b/>
                <w:bCs/>
                <w:color w:val="1F3864"/>
                <w:sz w:val="20"/>
                <w:szCs w:val="20"/>
              </w:rPr>
              <w:t>Col 4: Y_energy_eff</w:t>
            </w:r>
          </w:p>
        </w:tc>
        <w:tc>
          <w:tcPr>
            <w:tcW w:w="73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40" w:type="dxa"/>
              <w:bottom w:w="80" w:type="dxa"/>
              <w:right w:w="120" w:type="dxa"/>
            </w:tcMar>
          </w:tcPr>
          <w:p w14:paraId="298E70A8" w14:textId="77777777" w:rsidR="007868E0" w:rsidRDefault="00000000">
            <w:r>
              <w:rPr>
                <w:sz w:val="20"/>
                <w:szCs w:val="20"/>
              </w:rPr>
              <w:t>Weakly compelled — no binding federal mandate. Rep_Mayor expected complete separation (zero Republican observations). Firth penalised logistic + Fisher exact in footer.</w:t>
            </w:r>
          </w:p>
        </w:tc>
      </w:tr>
      <w:tr w:rsidR="007868E0" w14:paraId="27B872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8E3B88" w14:textId="77777777" w:rsidR="007868E0" w:rsidRDefault="00000000">
            <w:r>
              <w:rPr>
                <w:b/>
                <w:bCs/>
                <w:color w:val="1F3864"/>
                <w:sz w:val="20"/>
                <w:szCs w:val="20"/>
              </w:rPr>
              <w:t>Col 5: Y_green_bldg</w:t>
            </w:r>
          </w:p>
        </w:tc>
        <w:tc>
          <w:tcPr>
            <w:tcW w:w="7360" w:type="dxa"/>
            <w:tcBorders>
              <w:top w:val="single" w:sz="1" w:space="0" w:color="CCCCCC"/>
              <w:left w:val="single" w:sz="1" w:space="0" w:color="CCCCCC"/>
              <w:bottom w:val="single" w:sz="1" w:space="0" w:color="CCCCCC"/>
              <w:right w:val="single" w:sz="1" w:space="0" w:color="CCCCCC"/>
            </w:tcBorders>
            <w:shd w:val="clear" w:color="auto" w:fill="FAFBFD"/>
            <w:tcMar>
              <w:top w:w="80" w:type="dxa"/>
              <w:left w:w="140" w:type="dxa"/>
              <w:bottom w:w="80" w:type="dxa"/>
              <w:right w:w="120" w:type="dxa"/>
            </w:tcMar>
          </w:tcPr>
          <w:p w14:paraId="328EB4BD" w14:textId="77777777" w:rsidR="007868E0" w:rsidRDefault="00000000">
            <w:r>
              <w:rPr>
                <w:sz w:val="20"/>
                <w:szCs w:val="20"/>
              </w:rPr>
              <w:t>Weakly compelled. Same approach as Col 4.</w:t>
            </w:r>
          </w:p>
        </w:tc>
      </w:tr>
      <w:tr w:rsidR="007868E0" w14:paraId="3FEEBC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6A0E83E6" w14:textId="77777777" w:rsidR="007868E0" w:rsidRDefault="00000000">
            <w:r>
              <w:rPr>
                <w:b/>
                <w:bCs/>
                <w:color w:val="1F3864"/>
                <w:sz w:val="20"/>
                <w:szCs w:val="20"/>
              </w:rPr>
              <w:t>Col 6: Y_climate_adapt</w:t>
            </w:r>
          </w:p>
        </w:tc>
        <w:tc>
          <w:tcPr>
            <w:tcW w:w="73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40" w:type="dxa"/>
              <w:bottom w:w="80" w:type="dxa"/>
              <w:right w:w="120" w:type="dxa"/>
            </w:tcMar>
          </w:tcPr>
          <w:p w14:paraId="49E70D1C" w14:textId="77777777" w:rsidR="007868E0" w:rsidRDefault="00000000">
            <w:r>
              <w:rPr>
                <w:sz w:val="20"/>
                <w:szCs w:val="20"/>
              </w:rPr>
              <w:t>Descriptive only, 7 events total. Fisher exact test reported in footer. No regression.</w:t>
            </w:r>
          </w:p>
        </w:tc>
      </w:tr>
      <w:tr w:rsidR="007868E0" w14:paraId="4454E6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D54399" w14:textId="77777777" w:rsidR="007868E0" w:rsidRDefault="00000000">
            <w:r>
              <w:rPr>
                <w:b/>
                <w:bCs/>
                <w:color w:val="1F3864"/>
                <w:sz w:val="20"/>
                <w:szCs w:val="20"/>
              </w:rPr>
              <w:t>Col 7: Y_pollution_control</w:t>
            </w:r>
          </w:p>
        </w:tc>
        <w:tc>
          <w:tcPr>
            <w:tcW w:w="7360" w:type="dxa"/>
            <w:tcBorders>
              <w:top w:val="single" w:sz="1" w:space="0" w:color="CCCCCC"/>
              <w:left w:val="single" w:sz="1" w:space="0" w:color="CCCCCC"/>
              <w:bottom w:val="single" w:sz="1" w:space="0" w:color="CCCCCC"/>
              <w:right w:val="single" w:sz="1" w:space="0" w:color="CCCCCC"/>
            </w:tcBorders>
            <w:shd w:val="clear" w:color="auto" w:fill="FAFBFD"/>
            <w:tcMar>
              <w:top w:w="80" w:type="dxa"/>
              <w:left w:w="140" w:type="dxa"/>
              <w:bottom w:w="80" w:type="dxa"/>
              <w:right w:w="120" w:type="dxa"/>
            </w:tcMar>
          </w:tcPr>
          <w:p w14:paraId="448F30EE" w14:textId="77777777" w:rsidR="007868E0" w:rsidRDefault="00000000">
            <w:r>
              <w:rPr>
                <w:sz w:val="20"/>
                <w:szCs w:val="20"/>
              </w:rPr>
              <w:t>No compulsion identified. Fisher exact test in footer.</w:t>
            </w:r>
          </w:p>
        </w:tc>
      </w:tr>
      <w:tr w:rsidR="007868E0" w14:paraId="371965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082D56AB" w14:textId="77777777" w:rsidR="007868E0" w:rsidRDefault="00000000">
            <w:r>
              <w:rPr>
                <w:b/>
                <w:bCs/>
                <w:color w:val="1F3864"/>
                <w:sz w:val="20"/>
                <w:szCs w:val="20"/>
              </w:rPr>
              <w:t>Col 8: Stacked regression</w:t>
            </w:r>
          </w:p>
        </w:tc>
        <w:tc>
          <w:tcPr>
            <w:tcW w:w="73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40" w:type="dxa"/>
              <w:bottom w:w="80" w:type="dxa"/>
              <w:right w:w="120" w:type="dxa"/>
            </w:tcMar>
          </w:tcPr>
          <w:p w14:paraId="4E6295CB" w14:textId="77777777" w:rsidR="007868E0" w:rsidRDefault="00000000">
            <w:r>
              <w:rPr>
                <w:sz w:val="20"/>
                <w:szCs w:val="20"/>
              </w:rPr>
              <w:t>All seven categories stacked with Rep_Mayor × compulsion_strength_ordinal interaction. Single coefficient tests whether the partisan gap decreases monotonically with compulsion strength. Expected: negative and significant. Most parsimonious statement of H2a; avoids multiple testing concerns.</w:t>
            </w:r>
          </w:p>
        </w:tc>
      </w:tr>
    </w:tbl>
    <w:p w14:paraId="6444FCE1" w14:textId="77777777" w:rsidR="007868E0" w:rsidRDefault="007868E0">
      <w:pPr>
        <w:spacing w:after="160"/>
      </w:pPr>
    </w:p>
    <w:p w14:paraId="45A626F1" w14:textId="77777777" w:rsidR="007868E0" w:rsidRDefault="00000000">
      <w:pPr>
        <w:pStyle w:val="Heading2"/>
      </w:pPr>
      <w:r>
        <w:t>Statistical Approach for Sparse Categories</w:t>
      </w:r>
    </w:p>
    <w:p w14:paraId="1230D846" w14:textId="77777777" w:rsidR="007868E0" w:rsidRDefault="00000000">
      <w:pPr>
        <w:pStyle w:val="ListParagraph"/>
        <w:numPr>
          <w:ilvl w:val="0"/>
          <w:numId w:val="2"/>
        </w:numPr>
        <w:spacing w:before="40" w:after="40"/>
      </w:pPr>
      <w:r>
        <w:rPr>
          <w:sz w:val="21"/>
          <w:szCs w:val="21"/>
        </w:rPr>
        <w:t>Columns 4 and 5 (zero or near-zero Republican observations): Firth penalised logistic regression alongside LPM</w:t>
      </w:r>
    </w:p>
    <w:p w14:paraId="76E5BE68" w14:textId="77777777" w:rsidR="007868E0" w:rsidRDefault="00000000">
      <w:pPr>
        <w:pStyle w:val="ListParagraph"/>
        <w:numPr>
          <w:ilvl w:val="0"/>
          <w:numId w:val="2"/>
        </w:numPr>
        <w:spacing w:before="40" w:after="40"/>
      </w:pPr>
      <w:r>
        <w:rPr>
          <w:sz w:val="21"/>
          <w:szCs w:val="21"/>
        </w:rPr>
        <w:t>Fisher exact tests using 999-permutation randomisation inference reported in table footer</w:t>
      </w:r>
    </w:p>
    <w:p w14:paraId="66C698D6" w14:textId="77777777" w:rsidR="007868E0" w:rsidRDefault="00000000">
      <w:pPr>
        <w:pStyle w:val="ListParagraph"/>
        <w:numPr>
          <w:ilvl w:val="0"/>
          <w:numId w:val="2"/>
        </w:numPr>
        <w:spacing w:before="40" w:after="40"/>
      </w:pPr>
      <w:r>
        <w:rPr>
          <w:sz w:val="21"/>
          <w:szCs w:val="21"/>
        </w:rPr>
        <w:t>Benjamini-Hochberg FDR correction reported alongside unadjusted p-values</w:t>
      </w:r>
    </w:p>
    <w:p w14:paraId="6BE229B9" w14:textId="77777777" w:rsidR="007868E0" w:rsidRDefault="00000000">
      <w:pPr>
        <w:pStyle w:val="ListParagraph"/>
        <w:numPr>
          <w:ilvl w:val="0"/>
          <w:numId w:val="2"/>
        </w:numPr>
        <w:spacing w:before="40" w:after="40"/>
      </w:pPr>
      <w:r>
        <w:rPr>
          <w:sz w:val="21"/>
          <w:szCs w:val="21"/>
        </w:rPr>
        <w:t>All columns share the same covariate vector as Table 1 with category-specific compulsion controls added</w:t>
      </w:r>
    </w:p>
    <w:p w14:paraId="5E679232" w14:textId="77777777" w:rsidR="007868E0" w:rsidRDefault="007868E0">
      <w:pPr>
        <w:spacing w:after="200"/>
      </w:pPr>
    </w:p>
    <w:p w14:paraId="466068E5" w14:textId="77777777" w:rsidR="007868E0" w:rsidRDefault="00000000">
      <w:pPr>
        <w:pStyle w:val="Heading1"/>
        <w:pBdr>
          <w:bottom w:val="single" w:sz="8" w:space="4" w:color="1F3864"/>
        </w:pBdr>
      </w:pPr>
      <w:r>
        <w:t>Table 3 — The Credibility Gap and Its Boundary Conditions</w:t>
      </w:r>
    </w:p>
    <w:p w14:paraId="7BA50622" w14:textId="77777777" w:rsidR="007868E0" w:rsidRDefault="007868E0">
      <w:pPr>
        <w:spacing w:after="40"/>
      </w:pPr>
    </w:p>
    <w:p w14:paraId="04E94A9B" w14:textId="77777777" w:rsidR="007868E0" w:rsidRDefault="00000000">
      <w:pPr>
        <w:spacing w:before="80" w:after="120"/>
      </w:pPr>
      <w:r>
        <w:rPr>
          <w:b/>
          <w:bCs/>
          <w:color w:val="000000"/>
        </w:rPr>
        <w:t xml:space="preserve">Hypotheses tested: </w:t>
      </w:r>
      <w:r>
        <w:rPr>
          <w:color w:val="000000"/>
        </w:rPr>
        <w:t>H2b (conditional on issuing, Republicans less likely to obtain ESG assurance); H3a (compulsion and fiscal stress modulate the gap); H3b (market, electoral, and peer discipline fail to close it).</w:t>
      </w:r>
    </w:p>
    <w:p w14:paraId="04DFC05A" w14:textId="77777777" w:rsidR="007868E0" w:rsidRDefault="00000000">
      <w:pPr>
        <w:pStyle w:val="Heading2"/>
      </w:pPr>
      <w:r>
        <w:t>Logic</w:t>
      </w:r>
    </w:p>
    <w:p w14:paraId="16E2FE56" w14:textId="77777777" w:rsidR="007868E0" w:rsidRDefault="00000000">
      <w:pPr>
        <w:spacing w:before="80" w:after="100"/>
      </w:pPr>
      <w:r>
        <w:rPr>
          <w:color w:val="000000"/>
        </w:rPr>
        <w:t xml:space="preserve">Table 3 tests Step 4 of the decision chain — whether, conditional on a Bloomberg-classified green bond having been issued, the mayor additionally invests in third-party credibility signalling. The sample conditions on Green_Bond_Issued = 1 (cities with at least one Bloomberg green leaf bond), not the full panel. This is theoretically motivated: selection into the Table 3 sample is predicted by enforcement compulsion and fiscal structure as shown in Table 1, and the Table 3 question is distinct — not whether a green bond was issued, but whether the issuer treated it as a climate commitment rather than infrastructure finance. The Bloomberg classification is already automatic at this point; the only remaining choice is whether to invest in credibility. Rep_Mayor is expected most negative here, at the deepest discretionary step in the chain. The same right-hand side specification from Tables 1 and 2 is used throughout, with no modification — this pre-commitment establishes that the growing partisan gap across outcomes reflects the decision chain structure, not specification searching.</w:t>
      </w:r>
    </w:p>
    <w:p w14:paraId="1D43E137" w14:textId="77777777" w:rsidR="007868E0" w:rsidRDefault="00000000">
      <w:pPr>
        <w:spacing w:before="80" w:after="120"/>
      </w:pPr>
      <w:r>
        <w:rPr>
          <w:color w:val="000000"/>
        </w:rPr>
        <w:t>The six columns move through three questions: is the gap real (Column 1); what from within the structural framework modulates it (Columns 2 and 3); what from outside fails to close it (Columns 4 and 5); does it survive within-city variation (Column 6). Together they establish that polarisation reasserts fully in the residual space and is resistant to multiple independent disciplining forces simultaneously — the core claim about organised partisan identity in climate politics.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68E0" w14:paraId="07D982C9" w14:textId="77777777">
        <w:tblPrEx>
          <w:tblCellMar>
            <w:top w:w="0" w:type="dxa"/>
            <w:bottom w:w="0" w:type="dxa"/>
          </w:tblCellMar>
        </w:tblPrEx>
        <w:tc>
          <w:tcPr>
            <w:tcW w:w="0" w:type="auto"/>
            <w:tcBorders>
              <w:top w:val="single" w:sz="4" w:space="0" w:color="E8A800"/>
              <w:left w:val="single" w:sz="12" w:space="0" w:color="E8A800"/>
              <w:bottom w:val="single" w:sz="4" w:space="0" w:color="E8A800"/>
              <w:right w:val="single" w:sz="4" w:space="0" w:color="E8A800"/>
            </w:tcBorders>
            <w:shd w:val="clear" w:color="auto" w:fill="FFFBEE"/>
            <w:tcMar>
              <w:top w:w="100" w:type="dxa"/>
              <w:left w:w="160" w:type="dxa"/>
              <w:bottom w:w="100" w:type="dxa"/>
              <w:right w:w="160" w:type="dxa"/>
            </w:tcMar>
          </w:tcPr>
          <w:p w14:paraId="5023C8C1" w14:textId="77777777" w:rsidR="007868E0" w:rsidRDefault="00000000">
            <w:r>
              <w:rPr>
                <w:i/>
                <w:iCs/>
                <w:color w:val="5C4A00"/>
                <w:sz w:val="20"/>
                <w:szCs w:val="20"/>
              </w:rPr>
              <w:t>The water-only Fisher exact test is reported inline in the text immediately before this table: 46% Democratic versus 14% Republican assurance rates among water-only issuers on identical infrastructure, Fisher p = 0.010. This is the cleanest raw statement of H2b and motivates the regression before it is shown.</w:t>
            </w:r>
          </w:p>
        </w:tc>
      </w:tr>
    </w:tbl>
    <w:p w14:paraId="3E7B175C" w14:textId="77777777" w:rsidR="007868E0" w:rsidRDefault="007868E0">
      <w:pPr>
        <w:spacing w:after="120"/>
      </w:pPr>
    </w:p>
    <w:p w14:paraId="133C030F" w14:textId="77777777" w:rsidR="007868E0" w:rsidRDefault="00000000">
      <w:pPr>
        <w:pStyle w:val="Heading2"/>
      </w:pPr>
      <w:r>
        <w:t>Structure: Six Columns, All on Y_esg_assurance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868E0" w14:paraId="1D4A97E4"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4E19BD" w14:textId="77777777" w:rsidR="007868E0" w:rsidRDefault="00000000">
            <w:r>
              <w:rPr>
                <w:b/>
                <w:bCs/>
                <w:color w:val="FFFFFF"/>
                <w:sz w:val="20"/>
                <w:szCs w:val="20"/>
              </w:rPr>
              <w:t>Column</w:t>
            </w:r>
          </w:p>
        </w:tc>
        <w:tc>
          <w:tcPr>
            <w:tcW w:w="7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20" w:type="dxa"/>
            </w:tcMar>
          </w:tcPr>
          <w:p w14:paraId="4F3E1F7B" w14:textId="77777777" w:rsidR="007868E0" w:rsidRDefault="00000000">
            <w:r>
              <w:rPr>
                <w:b/>
                <w:bCs/>
                <w:color w:val="FFFFFF"/>
                <w:sz w:val="20"/>
                <w:szCs w:val="20"/>
              </w:rPr>
              <w:t>Specification and Purpose</w:t>
            </w:r>
          </w:p>
        </w:tc>
      </w:tr>
      <w:tr w:rsidR="007868E0" w14:paraId="4213C1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B1BE66" w14:textId="77777777" w:rsidR="007868E0" w:rsidRDefault="00000000">
            <w:r>
              <w:rPr>
                <w:b/>
                <w:bCs/>
                <w:color w:val="1F3864"/>
                <w:sz w:val="20"/>
                <w:szCs w:val="20"/>
              </w:rPr>
              <w:t>Col 1: Baseline</w:t>
            </w:r>
          </w:p>
        </w:tc>
        <w:tc>
          <w:tcPr>
            <w:tcW w:w="7360" w:type="dxa"/>
            <w:tcBorders>
              <w:top w:val="single" w:sz="1" w:space="0" w:color="CCCCCC"/>
              <w:left w:val="single" w:sz="1" w:space="0" w:color="CCCCCC"/>
              <w:bottom w:val="single" w:sz="1" w:space="0" w:color="CCCCCC"/>
              <w:right w:val="single" w:sz="1" w:space="0" w:color="CCCCCC"/>
            </w:tcBorders>
            <w:shd w:val="clear" w:color="auto" w:fill="FAFBFD"/>
            <w:tcMar>
              <w:top w:w="80" w:type="dxa"/>
              <w:left w:w="140" w:type="dxa"/>
              <w:bottom w:w="80" w:type="dxa"/>
              <w:right w:w="120" w:type="dxa"/>
            </w:tcMar>
          </w:tcPr>
          <w:p w14:paraId="2AE22E37" w14:textId="77777777" w:rsidR="007868E0" w:rsidRDefault="00000000">
            <w:r>
              <w:rPr>
                <w:sz w:val="20"/>
                <w:szCs w:val="20"/>
              </w:rPr>
              <w:t>Rep_Mayor lag 1 (capital planning cycle timing). Full covariate vector from Table 1 plus has_substitute_issuer. State + year FE. Establishes H2b.</w:t>
            </w:r>
          </w:p>
        </w:tc>
      </w:tr>
      <w:tr w:rsidR="007868E0" w14:paraId="7F278F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0AFA17EA" w14:textId="77777777" w:rsidR="007868E0" w:rsidRDefault="00000000">
            <w:r>
              <w:rPr>
                <w:b/>
                <w:bCs/>
                <w:color w:val="1F3864"/>
                <w:sz w:val="20"/>
                <w:szCs w:val="20"/>
              </w:rPr>
              <w:t>Col 2: Regulatory moderation</w:t>
            </w:r>
          </w:p>
        </w:tc>
        <w:tc>
          <w:tcPr>
            <w:tcW w:w="73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40" w:type="dxa"/>
              <w:bottom w:w="80" w:type="dxa"/>
              <w:right w:w="120" w:type="dxa"/>
            </w:tcMar>
          </w:tcPr>
          <w:p w14:paraId="37742E78" w14:textId="77777777" w:rsidR="007868E0" w:rsidRDefault="00000000">
            <w:r>
              <w:rPr>
                <w:sz w:val="20"/>
                <w:szCs w:val="20"/>
              </w:rPr>
              <w:t>Adds Rep_Mayor × npdes_formal_prior3yr_muni. Expected positive interaction: high compulsion compresses the partisan assurance gap at Step 4. Family 1a boundary condition pushes into the credibility decision under maximum enforcement intensity, modulated by Family 3 state enforcement capacity. Tests H3a for the regulatory channel.</w:t>
            </w:r>
          </w:p>
        </w:tc>
      </w:tr>
      <w:tr w:rsidR="007868E0" w14:paraId="19F808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C68B5E" w14:textId="77777777" w:rsidR="007868E0" w:rsidRDefault="00000000">
            <w:r>
              <w:rPr>
                <w:b/>
                <w:bCs/>
                <w:color w:val="1F3864"/>
                <w:sz w:val="20"/>
                <w:szCs w:val="20"/>
              </w:rPr>
              <w:t>Col 3: Fiscal stress moderation</w:t>
            </w:r>
          </w:p>
        </w:tc>
        <w:tc>
          <w:tcPr>
            <w:tcW w:w="7360" w:type="dxa"/>
            <w:tcBorders>
              <w:top w:val="single" w:sz="1" w:space="0" w:color="CCCCCC"/>
              <w:left w:val="single" w:sz="1" w:space="0" w:color="CCCCCC"/>
              <w:bottom w:val="single" w:sz="1" w:space="0" w:color="CCCCCC"/>
              <w:right w:val="single" w:sz="1" w:space="0" w:color="CCCCCC"/>
            </w:tcBorders>
            <w:shd w:val="clear" w:color="auto" w:fill="FAFBFD"/>
            <w:tcMar>
              <w:top w:w="80" w:type="dxa"/>
              <w:left w:w="140" w:type="dxa"/>
              <w:bottom w:w="80" w:type="dxa"/>
              <w:right w:w="120" w:type="dxa"/>
            </w:tcMar>
          </w:tcPr>
          <w:p w14:paraId="7ADD61A6" w14:textId="77777777" w:rsidR="007868E0" w:rsidRDefault="00000000">
            <w:r>
              <w:rPr>
                <w:sz w:val="20"/>
                <w:szCs w:val="20"/>
              </w:rPr>
              <w:t>Adds Rep_Mayor × fiscal_stress_pca_lag2. Note the sign reversal relative to the Table 1 Col 5 triple interaction: at Step 2 (financing), fiscal distress narrows the partisan gap instrumentally — it pulls Republican mayors into the green bond market as a financing tool. At Step 4 (assurance), fiscal distress widens the partisan gap — Democratic mayors use credibility signalling strategically to improve credit standing, while Republican mayors who were forced into the market at Step 2 by fiscal necessity decline to invest further in a signal with no fiscal payoff. Two results expected: (a) fiscal_stress_pca direct effect positive — stressed cities of both parties invest more in credibility because the signal is more valuable when fiscal health is in question; (b) Rep_Mayor × fiscal_stress_pca negative — fiscal stress widens the partisan assurance gap because Democrats respond to the credibility incentive but Republicans who entered the market instrumentally do not. The combination of positive Col 5 triple interaction (Step 2) and negative Col 3 interaction (Step 4) is the most precise statement of the room-to-manoeuvre argument: fiscal compulsion reaches Step 2 but not Step 4. Confirms Family 2 is preference-based not capacity-based. Tests H3a for fiscal channel.</w:t>
            </w:r>
          </w:p>
        </w:tc>
      </w:tr>
      <w:tr w:rsidR="007868E0" w14:paraId="010DF6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5B6ED9FB" w14:textId="77777777" w:rsidR="007868E0" w:rsidRDefault="00000000">
            <w:r>
              <w:rPr>
                <w:b/>
                <w:bCs/>
                <w:color w:val="1F3864"/>
                <w:sz w:val="20"/>
                <w:szCs w:val="20"/>
              </w:rPr>
              <w:t>Col 4: Electoral discipline failure</w:t>
            </w:r>
          </w:p>
        </w:tc>
        <w:tc>
          <w:tcPr>
            <w:tcW w:w="73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40" w:type="dxa"/>
              <w:bottom w:w="80" w:type="dxa"/>
              <w:right w:w="120" w:type="dxa"/>
            </w:tcMar>
          </w:tcPr>
          <w:p w14:paraId="46AD4A73" w14:textId="77777777" w:rsidR="007868E0" w:rsidRDefault="00000000">
            <w:r>
              <w:rPr>
                <w:sz w:val="20"/>
                <w:szCs w:val="20"/>
              </w:rPr>
              <w:t>Adds Rep_Mayor × pres_dem_vote_share_lag2. Expected negative and significant: gap is largest where electoral pressure on Republicans is highest, the opposite of constituency sorting. Tests H3b. Directly addresses endogeneity concern that Republican mayors sort into Republican constituencies with lower climate concern.</w:t>
            </w:r>
          </w:p>
        </w:tc>
      </w:tr>
      <w:tr w:rsidR="007868E0" w14:paraId="15F42A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B8FBE2" w14:textId="77777777" w:rsidR="007868E0" w:rsidRDefault="00000000">
            <w:r>
              <w:rPr>
                <w:b/>
                <w:bCs/>
                <w:color w:val="1F3864"/>
                <w:sz w:val="20"/>
                <w:szCs w:val="20"/>
              </w:rPr>
              <w:t>Col 5: Reverse causation check</w:t>
            </w:r>
          </w:p>
        </w:tc>
        <w:tc>
          <w:tcPr>
            <w:tcW w:w="7360" w:type="dxa"/>
            <w:tcBorders>
              <w:top w:val="single" w:sz="1" w:space="0" w:color="CCCCCC"/>
              <w:left w:val="single" w:sz="1" w:space="0" w:color="CCCCCC"/>
              <w:bottom w:val="single" w:sz="1" w:space="0" w:color="CCCCCC"/>
              <w:right w:val="single" w:sz="1" w:space="0" w:color="CCCCCC"/>
            </w:tcBorders>
            <w:shd w:val="clear" w:color="auto" w:fill="FAFBFD"/>
            <w:tcMar>
              <w:top w:w="80" w:type="dxa"/>
              <w:left w:w="140" w:type="dxa"/>
              <w:bottom w:w="80" w:type="dxa"/>
              <w:right w:w="120" w:type="dxa"/>
            </w:tcMar>
          </w:tcPr>
          <w:p w14:paraId="46A3D376" w14:textId="77777777" w:rsidR="007868E0" w:rsidRDefault="00000000">
            <w:r>
              <w:rPr>
                <w:sz w:val="20"/>
                <w:szCs w:val="20"/>
              </w:rPr>
              <w:t>Replaces Rep_Mayor lag 1 with Rep_Mayor lag 4. Expected: coefficient stable or slightly strengthening — effect persists over a full mayoral term. Tests H3b.</w:t>
            </w:r>
          </w:p>
        </w:tc>
      </w:tr>
      <w:tr w:rsidR="007868E0" w14:paraId="62B960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53097DB6" w14:textId="77777777" w:rsidR="007868E0" w:rsidRDefault="00000000">
            <w:r>
              <w:rPr>
                <w:b/>
                <w:bCs/>
                <w:color w:val="1F3864"/>
                <w:sz w:val="20"/>
                <w:szCs w:val="20"/>
              </w:rPr>
              <w:t>Col 6: Within-city robustness</w:t>
            </w:r>
          </w:p>
        </w:tc>
        <w:tc>
          <w:tcPr>
            <w:tcW w:w="73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40" w:type="dxa"/>
              <w:bottom w:w="80" w:type="dxa"/>
              <w:right w:w="120" w:type="dxa"/>
            </w:tcMar>
          </w:tcPr>
          <w:p w14:paraId="2E287FBE" w14:textId="77777777" w:rsidR="007868E0" w:rsidRDefault="00000000">
            <w:r>
              <w:rPr>
                <w:sz w:val="20"/>
                <w:szCs w:val="20"/>
              </w:rPr>
              <w:t>Replaces state + year FE with city + year FE. Identified from cities that switch mayoral party during 2013–2025 (~8 cities with both switch and assurance variation). Explicit table note: null or attenuated result reflects power not absence of effect. Party switcher event study in identification appendix provides the dedicated within-city test.</w:t>
            </w:r>
          </w:p>
        </w:tc>
      </w:tr>
    </w:tbl>
    <w:p w14:paraId="7CBB15AF" w14:textId="77777777" w:rsidR="007868E0" w:rsidRDefault="007868E0">
      <w:pPr>
        <w:spacing w:after="160"/>
      </w:pPr>
    </w:p>
    <w:p w14:paraId="303BC772" w14:textId="77777777" w:rsidR="007868E0" w:rsidRDefault="00000000">
      <w:pPr>
        <w:pStyle w:val="Heading2"/>
      </w:pPr>
      <w:r>
        <w:t>Appendix Robustness Referenced in Body Text</w:t>
      </w:r>
    </w:p>
    <w:p w14:paraId="005F3769" w14:textId="77777777" w:rsidR="007868E0" w:rsidRDefault="00000000">
      <w:pPr>
        <w:pStyle w:val="ListParagraph"/>
        <w:numPr>
          <w:ilvl w:val="0"/>
          <w:numId w:val="2"/>
        </w:numPr>
        <w:spacing w:before="40" w:after="40"/>
      </w:pPr>
      <w:r>
        <w:rPr>
          <w:sz w:val="21"/>
          <w:szCs w:val="21"/>
        </w:rPr>
        <w:lastRenderedPageBreak/>
        <w:t>Appendix I: ESG AUM × Rep_Mayor market discipline test. As ESG capital grows Democrats certify more, Republicans do not respond.</w:t>
      </w:r>
    </w:p>
    <w:p w14:paraId="5FDD6633" w14:textId="77777777" w:rsidR="007868E0" w:rsidRDefault="00000000">
      <w:pPr>
        <w:pStyle w:val="ListParagraph"/>
        <w:numPr>
          <w:ilvl w:val="0"/>
          <w:numId w:val="2"/>
        </w:numPr>
        <w:spacing w:before="40" w:after="40"/>
      </w:pPr>
      <w:r>
        <w:rPr>
          <w:sz w:val="21"/>
          <w:szCs w:val="21"/>
        </w:rPr>
        <w:t>Appendix S: Peer learning asymmetry from spatial analysis.</w:t>
      </w:r>
    </w:p>
    <w:p w14:paraId="4BA68F11" w14:textId="77777777" w:rsidR="007868E0" w:rsidRDefault="00000000">
      <w:pPr>
        <w:pStyle w:val="ListParagraph"/>
        <w:numPr>
          <w:ilvl w:val="0"/>
          <w:numId w:val="2"/>
        </w:numPr>
        <w:spacing w:before="40" w:after="40"/>
      </w:pPr>
      <w:r>
        <w:rPr>
          <w:sz w:val="21"/>
          <w:szCs w:val="21"/>
        </w:rPr>
        <w:t>Appendix B: Full 22-item climate opinion battery. All 22 interactions negative and consistent — constituent climate concern does not close the gap.</w:t>
      </w:r>
    </w:p>
    <w:p w14:paraId="4FCB4D8D" w14:textId="77777777" w:rsidR="007868E0" w:rsidRDefault="00000000">
      <w:pPr>
        <w:pStyle w:val="ListParagraph"/>
        <w:numPr>
          <w:ilvl w:val="0"/>
          <w:numId w:val="2"/>
        </w:numPr>
        <w:spacing w:before="40" w:after="40"/>
      </w:pPr>
      <w:r>
        <w:rPr>
          <w:sz w:val="21"/>
          <w:szCs w:val="21"/>
        </w:rPr>
        <w:t>Mundlak-Chamberlain CRE in robustness appendix for Tables 1 and 3.</w:t>
      </w:r>
    </w:p>
    <w:p w14:paraId="456AF3E9" w14:textId="77777777" w:rsidR="007868E0" w:rsidRDefault="00000000">
      <w:pPr>
        <w:pStyle w:val="ListParagraph"/>
        <w:numPr>
          <w:ilvl w:val="0"/>
          <w:numId w:val="2"/>
        </w:numPr>
        <w:spacing w:before="40" w:after="40"/>
      </w:pPr>
      <w:r>
        <w:rPr>
          <w:sz w:val="21"/>
          <w:szCs w:val="21"/>
        </w:rPr>
        <w:t>Double-LASSO control selection confirming pre-specified control vector is not over-fitted.</w:t>
      </w:r>
    </w:p>
    <w:p w14:paraId="331C1BBE" w14:textId="77777777" w:rsidR="007868E0" w:rsidRDefault="007868E0">
      <w:pPr>
        <w:spacing w:after="200"/>
      </w:pPr>
    </w:p>
    <w:p w14:paraId="586129A7" w14:textId="77777777" w:rsidR="007868E0" w:rsidRDefault="00000000">
      <w:pPr>
        <w:pStyle w:val="Heading1"/>
        <w:pBdr>
          <w:bottom w:val="single" w:sz="8" w:space="4" w:color="1F3864"/>
        </w:pBdr>
      </w:pPr>
      <w:r>
        <w:t>Cross-Table Notes</w:t>
      </w:r>
    </w:p>
    <w:p w14:paraId="2287DF82" w14:textId="77777777" w:rsidR="007868E0" w:rsidRDefault="007868E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868E0" w14:paraId="6FB85D7F"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965106" w14:textId="77777777" w:rsidR="007868E0" w:rsidRDefault="00000000">
            <w:r>
              <w:rPr>
                <w:b/>
                <w:bCs/>
                <w:color w:val="FFFFFF"/>
                <w:sz w:val="20"/>
                <w:szCs w:val="20"/>
              </w:rPr>
              <w:t>Item</w:t>
            </w:r>
          </w:p>
        </w:tc>
        <w:tc>
          <w:tcPr>
            <w:tcW w:w="7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20" w:type="dxa"/>
            </w:tcMar>
          </w:tcPr>
          <w:p w14:paraId="0EAF2202" w14:textId="77777777" w:rsidR="007868E0" w:rsidRDefault="00000000">
            <w:r>
              <w:rPr>
                <w:b/>
                <w:bCs/>
                <w:color w:val="FFFFFF"/>
                <w:sz w:val="20"/>
                <w:szCs w:val="20"/>
              </w:rPr>
              <w:t>Specification</w:t>
            </w:r>
          </w:p>
        </w:tc>
      </w:tr>
      <w:tr w:rsidR="007868E0" w14:paraId="653967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E7C8E0" w14:textId="77777777" w:rsidR="007868E0" w:rsidRDefault="00000000">
            <w:r>
              <w:rPr>
                <w:b/>
                <w:bCs/>
                <w:color w:val="1F3864"/>
                <w:sz w:val="20"/>
                <w:szCs w:val="20"/>
              </w:rPr>
              <w:t>Fixed effects (all tables)</w:t>
            </w:r>
          </w:p>
        </w:tc>
        <w:tc>
          <w:tcPr>
            <w:tcW w:w="7360" w:type="dxa"/>
            <w:tcBorders>
              <w:top w:val="single" w:sz="1" w:space="0" w:color="CCCCCC"/>
              <w:left w:val="single" w:sz="1" w:space="0" w:color="CCCCCC"/>
              <w:bottom w:val="single" w:sz="1" w:space="0" w:color="CCCCCC"/>
              <w:right w:val="single" w:sz="1" w:space="0" w:color="CCCCCC"/>
            </w:tcBorders>
            <w:shd w:val="clear" w:color="auto" w:fill="FAFBFD"/>
            <w:tcMar>
              <w:top w:w="80" w:type="dxa"/>
              <w:left w:w="140" w:type="dxa"/>
              <w:bottom w:w="80" w:type="dxa"/>
              <w:right w:w="120" w:type="dxa"/>
            </w:tcMar>
          </w:tcPr>
          <w:p w14:paraId="6D11F6E4" w14:textId="77777777" w:rsidR="007868E0" w:rsidRDefault="00000000">
            <w:r>
              <w:rPr>
                <w:sz w:val="20"/>
                <w:szCs w:val="20"/>
              </w:rPr>
              <w:t>State + year in all main specifications. City + year in Table 3 Col 6 robustness only.</w:t>
            </w:r>
          </w:p>
        </w:tc>
      </w:tr>
      <w:tr w:rsidR="007868E0" w14:paraId="52B31E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6645E362" w14:textId="77777777" w:rsidR="007868E0" w:rsidRDefault="00000000">
            <w:r>
              <w:rPr>
                <w:b/>
                <w:bCs/>
                <w:color w:val="1F3864"/>
                <w:sz w:val="20"/>
                <w:szCs w:val="20"/>
              </w:rPr>
              <w:t>Standard errors</w:t>
            </w:r>
          </w:p>
        </w:tc>
        <w:tc>
          <w:tcPr>
            <w:tcW w:w="73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40" w:type="dxa"/>
              <w:bottom w:w="80" w:type="dxa"/>
              <w:right w:w="120" w:type="dxa"/>
            </w:tcMar>
          </w:tcPr>
          <w:p w14:paraId="22312708" w14:textId="77777777" w:rsidR="007868E0" w:rsidRDefault="00000000">
            <w:r>
              <w:rPr>
                <w:sz w:val="20"/>
                <w:szCs w:val="20"/>
              </w:rPr>
              <w:t>Clustered at city level throughout.</w:t>
            </w:r>
          </w:p>
        </w:tc>
      </w:tr>
      <w:tr w:rsidR="007868E0" w14:paraId="75B464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97584A" w14:textId="77777777" w:rsidR="007868E0" w:rsidRDefault="00000000">
            <w:r>
              <w:rPr>
                <w:b/>
                <w:bCs/>
                <w:color w:val="1F3864"/>
                <w:sz w:val="20"/>
                <w:szCs w:val="20"/>
              </w:rPr>
              <w:t>Sample (Tables 1 and 3)</w:t>
            </w:r>
          </w:p>
        </w:tc>
        <w:tc>
          <w:tcPr>
            <w:tcW w:w="7360" w:type="dxa"/>
            <w:tcBorders>
              <w:top w:val="single" w:sz="1" w:space="0" w:color="CCCCCC"/>
              <w:left w:val="single" w:sz="1" w:space="0" w:color="CCCCCC"/>
              <w:bottom w:val="single" w:sz="1" w:space="0" w:color="CCCCCC"/>
              <w:right w:val="single" w:sz="1" w:space="0" w:color="CCCCCC"/>
            </w:tcBorders>
            <w:shd w:val="clear" w:color="auto" w:fill="FAFBFD"/>
            <w:tcMar>
              <w:top w:w="80" w:type="dxa"/>
              <w:left w:w="140" w:type="dxa"/>
              <w:bottom w:w="80" w:type="dxa"/>
              <w:right w:w="120" w:type="dxa"/>
            </w:tcMar>
          </w:tcPr>
          <w:p w14:paraId="1522DE3C" w14:textId="77777777" w:rsidR="007868E0" w:rsidRDefault="00000000">
            <w:r>
              <w:rPr>
                <w:sz w:val="20"/>
                <w:szCs w:val="20"/>
              </w:rPr>
              <w:t xml:space="preserve">Tables 1–2: ~5,056–5,064 city-years; 576 cities; 2013–2025. Table 3: conditions on Green_Bond_Issued = 1 (Bloomberg green leaf sample). Selection into this sample is predicted by enforcement compulsion and fiscal structure as shown in Table 1. Table 3 tests a different question — not whether a green bond was issued, but whether the issuer invested in credibility given issuance.</w:t>
            </w:r>
          </w:p>
        </w:tc>
      </w:tr>
      <w:tr w:rsidR="007868E0" w14:paraId="1923D4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2492F270" w14:textId="77777777" w:rsidR="007868E0" w:rsidRDefault="00000000">
            <w:r>
              <w:rPr>
                <w:b/>
                <w:bCs/>
                <w:color w:val="1F3864"/>
                <w:sz w:val="20"/>
                <w:szCs w:val="20"/>
              </w:rPr>
              <w:t>Sample (Table 2)</w:t>
            </w:r>
          </w:p>
        </w:tc>
        <w:tc>
          <w:tcPr>
            <w:tcW w:w="73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40" w:type="dxa"/>
              <w:bottom w:w="80" w:type="dxa"/>
              <w:right w:w="120" w:type="dxa"/>
            </w:tcMar>
          </w:tcPr>
          <w:p w14:paraId="346B72E7" w14:textId="77777777" w:rsidR="007868E0" w:rsidRDefault="00000000">
            <w:r>
              <w:rPr>
                <w:sz w:val="20"/>
                <w:szCs w:val="20"/>
              </w:rPr>
              <w:t>Variable by category. Water column uses full sample. Renewables restricted to 82-city municipal utility sub-sample for Col 3.</w:t>
            </w:r>
          </w:p>
        </w:tc>
      </w:tr>
      <w:tr w:rsidR="007868E0" w14:paraId="532CA1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AD1744" w14:textId="77777777" w:rsidR="007868E0" w:rsidRDefault="00000000">
            <w:r>
              <w:rPr>
                <w:b/>
                <w:bCs/>
                <w:color w:val="1F3864"/>
                <w:sz w:val="20"/>
                <w:szCs w:val="20"/>
              </w:rPr>
              <w:t>Rep_Mayor specification</w:t>
            </w:r>
          </w:p>
        </w:tc>
        <w:tc>
          <w:tcPr>
            <w:tcW w:w="7360" w:type="dxa"/>
            <w:tcBorders>
              <w:top w:val="single" w:sz="1" w:space="0" w:color="CCCCCC"/>
              <w:left w:val="single" w:sz="1" w:space="0" w:color="CCCCCC"/>
              <w:bottom w:val="single" w:sz="1" w:space="0" w:color="CCCCCC"/>
              <w:right w:val="single" w:sz="1" w:space="0" w:color="CCCCCC"/>
            </w:tcBorders>
            <w:shd w:val="clear" w:color="auto" w:fill="FAFBFD"/>
            <w:tcMar>
              <w:top w:w="80" w:type="dxa"/>
              <w:left w:w="140" w:type="dxa"/>
              <w:bottom w:w="80" w:type="dxa"/>
              <w:right w:w="120" w:type="dxa"/>
            </w:tcMar>
          </w:tcPr>
          <w:p w14:paraId="21624CE5" w14:textId="77777777" w:rsidR="007868E0" w:rsidRDefault="00000000">
            <w:r>
              <w:rPr>
                <w:sz w:val="20"/>
                <w:szCs w:val="20"/>
              </w:rPr>
              <w:t>Binary in all main specifications. prob_republican (continuous) in robustness.</w:t>
            </w:r>
          </w:p>
        </w:tc>
      </w:tr>
      <w:tr w:rsidR="007868E0" w14:paraId="72AF59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7244CFFB" w14:textId="77777777" w:rsidR="007868E0" w:rsidRDefault="00000000">
            <w:r>
              <w:rPr>
                <w:b/>
                <w:bCs/>
                <w:color w:val="1F3864"/>
                <w:sz w:val="20"/>
                <w:szCs w:val="20"/>
              </w:rPr>
              <w:t>EPA enforcement variable</w:t>
            </w:r>
          </w:p>
        </w:tc>
        <w:tc>
          <w:tcPr>
            <w:tcW w:w="73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40" w:type="dxa"/>
              <w:bottom w:w="80" w:type="dxa"/>
              <w:right w:w="120" w:type="dxa"/>
            </w:tcMar>
          </w:tcPr>
          <w:p w14:paraId="54EBBC9B" w14:textId="77777777" w:rsidR="007868E0" w:rsidRDefault="00000000">
            <w:r>
              <w:rPr>
                <w:sz w:val="20"/>
                <w:szCs w:val="20"/>
              </w:rPr>
              <w:t>npdes_formal_prior3yr_muni (municipal tier, primary). _locgov (supplement, Appendix D). _private (placebo, Appendix D). Source: city_year_epa_enforcement_expanded_20260407_125920.csv.</w:t>
            </w:r>
          </w:p>
        </w:tc>
      </w:tr>
      <w:tr w:rsidR="007868E0" w14:paraId="08FF7B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C16EE57" w14:textId="77777777" w:rsidR="007868E0" w:rsidRDefault="00000000">
            <w:r>
              <w:rPr>
                <w:b/>
                <w:bCs/>
                <w:color w:val="1F3864"/>
                <w:sz w:val="20"/>
                <w:szCs w:val="20"/>
              </w:rPr>
              <w:t>SRF variable</w:t>
            </w:r>
          </w:p>
        </w:tc>
        <w:tc>
          <w:tcPr>
            <w:tcW w:w="7360" w:type="dxa"/>
            <w:tcBorders>
              <w:top w:val="single" w:sz="1" w:space="0" w:color="CCCCCC"/>
              <w:left w:val="single" w:sz="1" w:space="0" w:color="CCCCCC"/>
              <w:bottom w:val="single" w:sz="1" w:space="0" w:color="CCCCCC"/>
              <w:right w:val="single" w:sz="1" w:space="0" w:color="CCCCCC"/>
            </w:tcBorders>
            <w:shd w:val="clear" w:color="auto" w:fill="FAFBFD"/>
            <w:tcMar>
              <w:top w:w="80" w:type="dxa"/>
              <w:left w:w="140" w:type="dxa"/>
              <w:bottom w:w="80" w:type="dxa"/>
              <w:right w:w="120" w:type="dxa"/>
            </w:tcMar>
          </w:tcPr>
          <w:p w14:paraId="26C259E5" w14:textId="77777777" w:rsidR="007868E0" w:rsidRDefault="00000000">
            <w:r>
              <w:rPr>
                <w:sz w:val="20"/>
                <w:szCs w:val="20"/>
              </w:rPr>
              <w:t>log_cwsrf_obligations_lag2 (state CWSRF federal grants, log, lag 2). Source: USASpending FY2008–2025. Replaces srf_received_any entirely.</w:t>
            </w:r>
          </w:p>
        </w:tc>
      </w:tr>
      <w:tr w:rsidR="007868E0" w14:paraId="36013E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4C2A6CBA" w14:textId="77777777" w:rsidR="007868E0" w:rsidRDefault="00000000">
            <w:r>
              <w:rPr>
                <w:b/>
                <w:bCs/>
                <w:color w:val="1F3864"/>
                <w:sz w:val="20"/>
                <w:szCs w:val="20"/>
              </w:rPr>
              <w:t>Staggered DiD</w:t>
            </w:r>
          </w:p>
        </w:tc>
        <w:tc>
          <w:tcPr>
            <w:tcW w:w="73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40" w:type="dxa"/>
              <w:bottom w:w="80" w:type="dxa"/>
              <w:right w:w="120" w:type="dxa"/>
            </w:tcMar>
          </w:tcPr>
          <w:p w14:paraId="1299EC0C" w14:textId="77777777" w:rsidR="007868E0" w:rsidRDefault="00000000">
            <w:r>
              <w:rPr>
                <w:sz w:val="20"/>
                <w:szCs w:val="20"/>
              </w:rPr>
              <w:t>Callaway-Sant’Anna estimator for anti-ESG law passage in robustness appendix.</w:t>
            </w:r>
          </w:p>
        </w:tc>
      </w:tr>
    </w:tbl>
    <w:p w14:paraId="68DA0CFB" w14:textId="77777777" w:rsidR="007868E0" w:rsidRDefault="007868E0">
      <w:pPr>
        <w:spacing w:after="200"/>
      </w:pPr>
    </w:p>
    <w:p w14:paraId="1030E54F" w14:textId="77777777" w:rsidR="007868E0" w:rsidRDefault="00000000">
      <w:pPr>
        <w:pStyle w:val="Heading1"/>
        <w:pBdr>
          <w:bottom w:val="single" w:sz="8" w:space="4" w:color="1F3864"/>
        </w:pBdr>
      </w:pPr>
      <w:r>
        <w:t>Data Status as of April 2026</w:t>
      </w:r>
    </w:p>
    <w:p w14:paraId="3ED9BF4C" w14:textId="77777777" w:rsidR="007868E0" w:rsidRDefault="007868E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868E0" w14:paraId="422546A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8C97E8" w14:textId="77777777" w:rsidR="007868E0" w:rsidRDefault="00000000">
            <w:r>
              <w:rPr>
                <w:b/>
                <w:bCs/>
                <w:color w:val="FFFFFF"/>
                <w:sz w:val="20"/>
                <w:szCs w:val="20"/>
              </w:rPr>
              <w:t>Dataset</w:t>
            </w:r>
          </w:p>
        </w:tc>
        <w:tc>
          <w:tcPr>
            <w:tcW w:w="7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20" w:type="dxa"/>
            </w:tcMar>
          </w:tcPr>
          <w:p w14:paraId="26AC7C32" w14:textId="77777777" w:rsidR="007868E0" w:rsidRDefault="00000000">
            <w:r>
              <w:rPr>
                <w:b/>
                <w:bCs/>
                <w:color w:val="FFFFFF"/>
                <w:sz w:val="20"/>
                <w:szCs w:val="20"/>
              </w:rPr>
              <w:t>Status</w:t>
            </w:r>
          </w:p>
        </w:tc>
      </w:tr>
      <w:tr w:rsidR="007868E0" w14:paraId="430128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137EBC" w14:textId="77777777" w:rsidR="007868E0" w:rsidRDefault="00000000">
            <w:r>
              <w:rPr>
                <w:b/>
                <w:bCs/>
                <w:color w:val="1F3864"/>
                <w:sz w:val="20"/>
                <w:szCs w:val="20"/>
              </w:rPr>
              <w:t>EPA enforcement (3-tier)</w:t>
            </w:r>
          </w:p>
        </w:tc>
        <w:tc>
          <w:tcPr>
            <w:tcW w:w="7360" w:type="dxa"/>
            <w:tcBorders>
              <w:top w:val="single" w:sz="1" w:space="0" w:color="CCCCCC"/>
              <w:left w:val="single" w:sz="1" w:space="0" w:color="CCCCCC"/>
              <w:bottom w:val="single" w:sz="1" w:space="0" w:color="CCCCCC"/>
              <w:right w:val="single" w:sz="1" w:space="0" w:color="CCCCCC"/>
            </w:tcBorders>
            <w:shd w:val="clear" w:color="auto" w:fill="FAFBFD"/>
            <w:tcMar>
              <w:top w:w="80" w:type="dxa"/>
              <w:left w:w="140" w:type="dxa"/>
              <w:bottom w:w="80" w:type="dxa"/>
              <w:right w:w="120" w:type="dxa"/>
            </w:tcMar>
          </w:tcPr>
          <w:p w14:paraId="25F1A985" w14:textId="77777777" w:rsidR="007868E0" w:rsidRDefault="00000000">
            <w:r>
              <w:rPr>
                <w:sz w:val="20"/>
                <w:szCs w:val="20"/>
              </w:rPr>
              <w:t>COMPLETE. city_year_epa_enforcement_expanded_20260407_125920.csv. 15,552 rows, 200 columns, 576 cities, 2000–2026. Three ownership tiers: _muni (primary), _locgov (supplement), _private (placebo).</w:t>
            </w:r>
          </w:p>
        </w:tc>
      </w:tr>
      <w:tr w:rsidR="007868E0" w14:paraId="4B795F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1E6D91DF" w14:textId="77777777" w:rsidR="007868E0" w:rsidRDefault="00000000">
            <w:r>
              <w:rPr>
                <w:b/>
                <w:bCs/>
                <w:color w:val="1F3864"/>
                <w:sz w:val="20"/>
                <w:szCs w:val="20"/>
              </w:rPr>
              <w:t>USASpending CWSRF</w:t>
            </w:r>
          </w:p>
        </w:tc>
        <w:tc>
          <w:tcPr>
            <w:tcW w:w="73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40" w:type="dxa"/>
              <w:bottom w:w="80" w:type="dxa"/>
              <w:right w:w="120" w:type="dxa"/>
            </w:tcMar>
          </w:tcPr>
          <w:p w14:paraId="6C81D29A" w14:textId="77777777" w:rsidR="007868E0" w:rsidRDefault="00000000">
            <w:r>
              <w:rPr>
                <w:sz w:val="20"/>
                <w:szCs w:val="20"/>
              </w:rPr>
              <w:t>COMPLETE. usaspending_srf_panel.csv. 894 state-year observations, 56 jurisdictions, FY2008–2025. Merge on state_abb + fiscal_year. Construct log_cwsrf_obligations_lag2.</w:t>
            </w:r>
          </w:p>
        </w:tc>
      </w:tr>
      <w:tr w:rsidR="007868E0" w14:paraId="394110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5CE6B6" w14:textId="77777777" w:rsidR="007868E0" w:rsidRDefault="00000000">
            <w:r>
              <w:rPr>
                <w:b/>
                <w:bCs/>
                <w:color w:val="1F3864"/>
                <w:sz w:val="20"/>
                <w:szCs w:val="20"/>
              </w:rPr>
              <w:t>Mayoral partisanship</w:t>
            </w:r>
          </w:p>
        </w:tc>
        <w:tc>
          <w:tcPr>
            <w:tcW w:w="7360" w:type="dxa"/>
            <w:tcBorders>
              <w:top w:val="single" w:sz="1" w:space="0" w:color="CCCCCC"/>
              <w:left w:val="single" w:sz="1" w:space="0" w:color="CCCCCC"/>
              <w:bottom w:val="single" w:sz="1" w:space="0" w:color="CCCCCC"/>
              <w:right w:val="single" w:sz="1" w:space="0" w:color="CCCCCC"/>
            </w:tcBorders>
            <w:shd w:val="clear" w:color="auto" w:fill="FAFBFD"/>
            <w:tcMar>
              <w:top w:w="80" w:type="dxa"/>
              <w:left w:w="140" w:type="dxa"/>
              <w:bottom w:w="80" w:type="dxa"/>
              <w:right w:w="120" w:type="dxa"/>
            </w:tcMar>
          </w:tcPr>
          <w:p w14:paraId="290B802D" w14:textId="77777777" w:rsidR="007868E0" w:rsidRDefault="00000000">
            <w:r>
              <w:rPr>
                <w:sz w:val="20"/>
                <w:szCs w:val="20"/>
              </w:rPr>
              <w:t>COMPLETE. ~1,824 US cities, tiered evidence methodology (voter registration, DIME CF-scores, endorsements). Verified through Hawaii.</w:t>
            </w:r>
          </w:p>
        </w:tc>
      </w:tr>
      <w:tr w:rsidR="007868E0" w14:paraId="3518E0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102A480C" w14:textId="77777777" w:rsidR="007868E0" w:rsidRDefault="00000000">
            <w:r>
              <w:rPr>
                <w:b/>
                <w:bCs/>
                <w:color w:val="1F3864"/>
                <w:sz w:val="20"/>
                <w:szCs w:val="20"/>
              </w:rPr>
              <w:lastRenderedPageBreak/>
              <w:t>Bloomberg green bonds</w:t>
            </w:r>
          </w:p>
        </w:tc>
        <w:tc>
          <w:tcPr>
            <w:tcW w:w="73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40" w:type="dxa"/>
              <w:bottom w:w="80" w:type="dxa"/>
              <w:right w:w="120" w:type="dxa"/>
            </w:tcMar>
          </w:tcPr>
          <w:p w14:paraId="411A9D7F" w14:textId="77777777" w:rsidR="007868E0" w:rsidRDefault="00000000">
            <w:r>
              <w:rPr>
                <w:sz w:val="20"/>
                <w:szCs w:val="20"/>
              </w:rPr>
              <w:t>COMPLETE. ~578 US cities, 2013–2025, hand-coded categories.</w:t>
            </w:r>
          </w:p>
        </w:tc>
      </w:tr>
      <w:tr w:rsidR="007868E0" w14:paraId="63AA55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603CFD" w14:textId="77777777" w:rsidR="007868E0" w:rsidRDefault="00000000">
            <w:r>
              <w:rPr>
                <w:b/>
                <w:bCs/>
                <w:color w:val="1F3864"/>
                <w:sz w:val="20"/>
                <w:szCs w:val="20"/>
              </w:rPr>
              <w:t>Fiscal variables</w:t>
            </w:r>
          </w:p>
        </w:tc>
        <w:tc>
          <w:tcPr>
            <w:tcW w:w="7360" w:type="dxa"/>
            <w:tcBorders>
              <w:top w:val="single" w:sz="1" w:space="0" w:color="CCCCCC"/>
              <w:left w:val="single" w:sz="1" w:space="0" w:color="CCCCCC"/>
              <w:bottom w:val="single" w:sz="1" w:space="0" w:color="CCCCCC"/>
              <w:right w:val="single" w:sz="1" w:space="0" w:color="CCCCCC"/>
            </w:tcBorders>
            <w:shd w:val="clear" w:color="auto" w:fill="FAFBFD"/>
            <w:tcMar>
              <w:top w:w="80" w:type="dxa"/>
              <w:left w:w="140" w:type="dxa"/>
              <w:bottom w:w="80" w:type="dxa"/>
              <w:right w:w="120" w:type="dxa"/>
            </w:tcMar>
          </w:tcPr>
          <w:p w14:paraId="051076CD" w14:textId="77777777" w:rsidR="007868E0" w:rsidRDefault="00000000">
            <w:r>
              <w:rPr>
                <w:sz w:val="20"/>
                <w:szCs w:val="20"/>
              </w:rPr>
              <w:t>COMPLETE. charges_to_own_source, reserve_ratio, debt_service_burden, TEL stringency.</w:t>
            </w:r>
          </w:p>
        </w:tc>
      </w:tr>
      <w:tr w:rsidR="007868E0" w14:paraId="2577C4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189E6D09" w14:textId="77777777" w:rsidR="007868E0" w:rsidRDefault="00000000">
            <w:r>
              <w:rPr>
                <w:b/>
                <w:bCs/>
                <w:color w:val="1F3864"/>
                <w:sz w:val="20"/>
                <w:szCs w:val="20"/>
              </w:rPr>
              <w:t>CWSRF total capitalisation</w:t>
            </w:r>
          </w:p>
        </w:tc>
        <w:tc>
          <w:tcPr>
            <w:tcW w:w="73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40" w:type="dxa"/>
              <w:bottom w:w="80" w:type="dxa"/>
              <w:right w:w="120" w:type="dxa"/>
            </w:tcMar>
          </w:tcPr>
          <w:p w14:paraId="10C9B6D5" w14:textId="77777777" w:rsidR="007868E0" w:rsidRDefault="00000000">
            <w:r>
              <w:rPr>
                <w:sz w:val="20"/>
                <w:szCs w:val="20"/>
              </w:rPr>
              <w:t>PENDING. Annual report PDFs being parsed for state-by-state total lending data (includes state match + repayments ≈ 3× federal component). If unavailable, use federal component with 3.25× multiplier proxy.</w:t>
            </w:r>
          </w:p>
        </w:tc>
      </w:tr>
      <w:tr w:rsidR="007868E0" w14:paraId="5D4448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BD01E8" w14:textId="77777777" w:rsidR="007868E0" w:rsidRDefault="00000000">
            <w:r>
              <w:rPr>
                <w:b/>
                <w:bCs/>
                <w:color w:val="1F3864"/>
                <w:sz w:val="20"/>
                <w:szCs w:val="20"/>
              </w:rPr>
              <w:t>EIA Form 861 municipal electric</w:t>
            </w:r>
          </w:p>
        </w:tc>
        <w:tc>
          <w:tcPr>
            <w:tcW w:w="7360" w:type="dxa"/>
            <w:tcBorders>
              <w:top w:val="single" w:sz="1" w:space="0" w:color="CCCCCC"/>
              <w:left w:val="single" w:sz="1" w:space="0" w:color="CCCCCC"/>
              <w:bottom w:val="single" w:sz="1" w:space="0" w:color="CCCCCC"/>
              <w:right w:val="single" w:sz="1" w:space="0" w:color="CCCCCC"/>
            </w:tcBorders>
            <w:shd w:val="clear" w:color="auto" w:fill="FAFBFD"/>
            <w:tcMar>
              <w:top w:w="80" w:type="dxa"/>
              <w:left w:w="140" w:type="dxa"/>
              <w:bottom w:w="80" w:type="dxa"/>
              <w:right w:w="120" w:type="dxa"/>
            </w:tcMar>
          </w:tcPr>
          <w:p w14:paraId="33FF1E90" w14:textId="77777777" w:rsidR="007868E0" w:rsidRDefault="00000000">
            <w:r>
              <w:rPr>
                <w:sz w:val="20"/>
                <w:szCs w:val="20"/>
              </w:rPr>
              <w:t>PENDING. Required for Table 2 Col 3 (renewables) has_municipal_electric control.</w:t>
            </w:r>
          </w:p>
        </w:tc>
      </w:tr>
      <w:tr w:rsidR="007868E0" w14:paraId="4516B9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1FA84180" w14:textId="77777777" w:rsidR="007868E0" w:rsidRDefault="00000000">
            <w:r>
              <w:rPr>
                <w:b/>
                <w:bCs/>
                <w:color w:val="1F3864"/>
                <w:sz w:val="20"/>
                <w:szCs w:val="20"/>
              </w:rPr>
              <w:t>City-level SRF borrower data</w:t>
            </w:r>
          </w:p>
        </w:tc>
        <w:tc>
          <w:tcPr>
            <w:tcW w:w="7360" w:type="dxa"/>
            <w:tcBorders>
              <w:top w:val="single" w:sz="1" w:space="0" w:color="CCCCCC"/>
              <w:left w:val="single" w:sz="1" w:space="0" w:color="CCCCCC"/>
              <w:bottom w:val="single" w:sz="1" w:space="0" w:color="CCCCCC"/>
              <w:right w:val="single" w:sz="1" w:space="0" w:color="CCCCCC"/>
            </w:tcBorders>
            <w:shd w:val="clear" w:color="auto" w:fill="EEF2FA"/>
            <w:tcMar>
              <w:top w:w="80" w:type="dxa"/>
              <w:left w:w="140" w:type="dxa"/>
              <w:bottom w:w="80" w:type="dxa"/>
              <w:right w:w="120" w:type="dxa"/>
            </w:tcMar>
          </w:tcPr>
          <w:p w14:paraId="14E58B1E" w14:textId="77777777" w:rsidR="007868E0" w:rsidRDefault="00000000">
            <w:r>
              <w:rPr>
                <w:sz w:val="20"/>
                <w:szCs w:val="20"/>
              </w:rPr>
              <w:t>UNAVAILABLE. All public sources exhausted (EPA SRF Portal, NIMS, WFC). Document as limitation. Three-level crowding-out evidence: qualitative (interviews), structural (triple interaction), aggregate (state CWSRF variable).</w:t>
            </w:r>
          </w:p>
        </w:tc>
      </w:tr>
    </w:tbl>
    <w:p w14:paraId="13D8D374" w14:textId="77777777" w:rsidR="007868E0" w:rsidRDefault="007868E0">
      <w:pPr>
        <w:spacing w:after="200"/>
      </w:pPr>
    </w:p>
    <w:p w14:paraId="0034C756" w14:textId="77777777" w:rsidR="007868E0" w:rsidRDefault="00000000">
      <w:pPr>
        <w:pBdr>
          <w:top w:val="single" w:sz="4" w:space="8" w:color="CCCCCC"/>
        </w:pBdr>
        <w:spacing w:before="240"/>
        <w:jc w:val="center"/>
      </w:pPr>
      <w:r>
        <w:rPr>
          <w:i/>
          <w:iCs/>
          <w:color w:val="888888"/>
          <w:sz w:val="18"/>
          <w:szCs w:val="18"/>
        </w:rPr>
        <w:t>Working memo — Oxford DPhil research — not for circulation — Maurice Hirt, April 2026</w:t>
      </w:r>
    </w:p>
    <w:sectPr w:rsidR="007868E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344DD6"/>
    <w:multiLevelType w:val="hybridMultilevel"/>
    <w:tmpl w:val="B24CA50C"/>
    <w:lvl w:ilvl="0" w:tplc="711A5768">
      <w:start w:val="1"/>
      <w:numFmt w:val="bullet"/>
      <w:lvlText w:val="●"/>
      <w:lvlJc w:val="left"/>
      <w:pPr>
        <w:ind w:left="720" w:hanging="360"/>
      </w:pPr>
    </w:lvl>
    <w:lvl w:ilvl="1" w:tplc="9EA6F642">
      <w:start w:val="1"/>
      <w:numFmt w:val="bullet"/>
      <w:lvlText w:val="○"/>
      <w:lvlJc w:val="left"/>
      <w:pPr>
        <w:ind w:left="1440" w:hanging="360"/>
      </w:pPr>
    </w:lvl>
    <w:lvl w:ilvl="2" w:tplc="CBDC3078">
      <w:start w:val="1"/>
      <w:numFmt w:val="bullet"/>
      <w:lvlText w:val="■"/>
      <w:lvlJc w:val="left"/>
      <w:pPr>
        <w:ind w:left="2160" w:hanging="360"/>
      </w:pPr>
    </w:lvl>
    <w:lvl w:ilvl="3" w:tplc="D3503874">
      <w:start w:val="1"/>
      <w:numFmt w:val="bullet"/>
      <w:lvlText w:val="●"/>
      <w:lvlJc w:val="left"/>
      <w:pPr>
        <w:ind w:left="2880" w:hanging="360"/>
      </w:pPr>
    </w:lvl>
    <w:lvl w:ilvl="4" w:tplc="1C02DC26">
      <w:start w:val="1"/>
      <w:numFmt w:val="bullet"/>
      <w:lvlText w:val="○"/>
      <w:lvlJc w:val="left"/>
      <w:pPr>
        <w:ind w:left="3600" w:hanging="360"/>
      </w:pPr>
    </w:lvl>
    <w:lvl w:ilvl="5" w:tplc="2F648342">
      <w:start w:val="1"/>
      <w:numFmt w:val="bullet"/>
      <w:lvlText w:val="■"/>
      <w:lvlJc w:val="left"/>
      <w:pPr>
        <w:ind w:left="4320" w:hanging="360"/>
      </w:pPr>
    </w:lvl>
    <w:lvl w:ilvl="6" w:tplc="0C8235EC">
      <w:start w:val="1"/>
      <w:numFmt w:val="bullet"/>
      <w:lvlText w:val="●"/>
      <w:lvlJc w:val="left"/>
      <w:pPr>
        <w:ind w:left="5040" w:hanging="360"/>
      </w:pPr>
    </w:lvl>
    <w:lvl w:ilvl="7" w:tplc="FB4C4D1E">
      <w:start w:val="1"/>
      <w:numFmt w:val="bullet"/>
      <w:lvlText w:val="●"/>
      <w:lvlJc w:val="left"/>
      <w:pPr>
        <w:ind w:left="5760" w:hanging="360"/>
      </w:pPr>
    </w:lvl>
    <w:lvl w:ilvl="8" w:tplc="CF50E832">
      <w:start w:val="1"/>
      <w:numFmt w:val="bullet"/>
      <w:lvlText w:val="●"/>
      <w:lvlJc w:val="left"/>
      <w:pPr>
        <w:ind w:left="6480" w:hanging="360"/>
      </w:pPr>
    </w:lvl>
  </w:abstractNum>
  <w:abstractNum w:abstractNumId="1" w15:restartNumberingAfterBreak="0">
    <w:nsid w:val="60155DB7"/>
    <w:multiLevelType w:val="hybridMultilevel"/>
    <w:tmpl w:val="1136C0C4"/>
    <w:lvl w:ilvl="0" w:tplc="C85274B8">
      <w:start w:val="1"/>
      <w:numFmt w:val="bullet"/>
      <w:lvlText w:val="•"/>
      <w:lvlJc w:val="left"/>
      <w:pPr>
        <w:ind w:left="560" w:hanging="280"/>
      </w:pPr>
    </w:lvl>
    <w:lvl w:ilvl="1" w:tplc="1F4E7960">
      <w:start w:val="1"/>
      <w:numFmt w:val="bullet"/>
      <w:lvlText w:val="◦"/>
      <w:lvlJc w:val="left"/>
      <w:pPr>
        <w:ind w:left="1000" w:hanging="280"/>
      </w:pPr>
    </w:lvl>
    <w:lvl w:ilvl="2" w:tplc="C1AA0B76">
      <w:numFmt w:val="decimal"/>
      <w:lvlText w:val=""/>
      <w:lvlJc w:val="left"/>
    </w:lvl>
    <w:lvl w:ilvl="3" w:tplc="023E3D08">
      <w:numFmt w:val="decimal"/>
      <w:lvlText w:val=""/>
      <w:lvlJc w:val="left"/>
    </w:lvl>
    <w:lvl w:ilvl="4" w:tplc="B4AA8522">
      <w:numFmt w:val="decimal"/>
      <w:lvlText w:val=""/>
      <w:lvlJc w:val="left"/>
    </w:lvl>
    <w:lvl w:ilvl="5" w:tplc="102EF8E4">
      <w:numFmt w:val="decimal"/>
      <w:lvlText w:val=""/>
      <w:lvlJc w:val="left"/>
    </w:lvl>
    <w:lvl w:ilvl="6" w:tplc="C84ECE64">
      <w:numFmt w:val="decimal"/>
      <w:lvlText w:val=""/>
      <w:lvlJc w:val="left"/>
    </w:lvl>
    <w:lvl w:ilvl="7" w:tplc="504AA998">
      <w:numFmt w:val="decimal"/>
      <w:lvlText w:val=""/>
      <w:lvlJc w:val="left"/>
    </w:lvl>
    <w:lvl w:ilvl="8" w:tplc="A06CC6FA">
      <w:numFmt w:val="decimal"/>
      <w:lvlText w:val=""/>
      <w:lvlJc w:val="left"/>
    </w:lvl>
  </w:abstractNum>
  <w:abstractNum w:abstractNumId="2" w15:restartNumberingAfterBreak="0">
    <w:nsid w:val="75907994"/>
    <w:multiLevelType w:val="hybridMultilevel"/>
    <w:tmpl w:val="BEF89F8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64571970">
    <w:abstractNumId w:val="0"/>
    <w:lvlOverride w:ilvl="0">
      <w:startOverride w:val="1"/>
    </w:lvlOverride>
  </w:num>
  <w:num w:numId="2" w16cid:durableId="1390301019">
    <w:abstractNumId w:val="1"/>
    <w:lvlOverride w:ilvl="0">
      <w:startOverride w:val="1"/>
    </w:lvlOverride>
  </w:num>
  <w:num w:numId="3" w16cid:durableId="14955350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8E0"/>
    <w:rsid w:val="007868E0"/>
    <w:rsid w:val="007A6A45"/>
    <w:rsid w:val="00905C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06B360E"/>
  <w15:docId w15:val="{CEF88A23-8F9E-754B-A20D-735A91B45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09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2177</Words>
  <Characters>12411</Characters>
  <Application>Microsoft Office Word</Application>
  <DocSecurity>0</DocSecurity>
  <Lines>103</Lines>
  <Paragraphs>29</Paragraphs>
  <ScaleCrop>false</ScaleCrop>
  <Company/>
  <LinksUpToDate>false</LinksUpToDate>
  <CharactersWithSpaces>14559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Maurice Hirt</cp:lastModifiedBy>
  <cp:revision>2</cp:revision>
  <dcterms:created xsi:type="dcterms:W3CDTF">2026-04-07T13:09:00Z</dcterms:created>
  <dcterms:modified xsi:type="dcterms:W3CDTF">2026-04-07T17:32:00Z</dcterms:modified>
</cp:coreProperties>
</file>