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52"/>
          <w:szCs w:val="52"/>
        </w:rPr>
        <w:t xml:space="preserve">AI Observability Stack</w:t>
      </w:r>
    </w:p>
    <w:p>
      <w:pPr>
        <w:spacing w:after="60"/>
        <w:jc w:val="center"/>
      </w:pPr>
      <w:r>
        <w:rPr>
          <w:b/>
          <w:bCs/>
          <w:color w:val="0E7C7B"/>
          <w:sz w:val="26"/>
          <w:szCs w:val="26"/>
        </w:rPr>
        <w:t xml:space="preserve">Customer Case Study  |  AWS Marketplace (AMI)</w:t>
      </w:r>
    </w:p>
    <w:p>
      <w:pPr>
        <w:spacing w:after="240"/>
        <w:jc w:val="center"/>
      </w:pPr>
      <w:r>
        <w:rPr>
          <w:color w:val="595959"/>
          <w:sz w:val="21"/>
          <w:szCs w:val="21"/>
        </w:rPr>
        <w:t xml:space="preserve">Trigent AI Business Unit  ·  GenAI / Ops  ·  Priority-1 Marketplace Offering</w:t>
      </w:r>
    </w:p>
    <w:p>
      <w:pPr>
        <w:shd w:fill="FFF2CC" w:val="clear"/>
        <w:spacing w:after="280"/>
        <w:jc w:val="center"/>
      </w:pPr>
      <w:r>
        <w:rPr>
          <w:i/>
          <w:iCs/>
          <w:color w:val="7F6000"/>
          <w:sz w:val="19"/>
          <w:szCs w:val="19"/>
        </w:rPr>
        <w:t xml:space="preserve">ILLUSTRATIVE TEMPLATE — figures in [brackets] are placeholders. Delivery status: product AMI built and verified (us-east-1); AWS Marketplace listing IN PROGRESS — customers deploy today via the provided Terraform/CloudFormation.</w:t>
      </w:r>
    </w:p>
    <w:p>
      <w:pPr>
        <w:pStyle w:val="Heading1"/>
        <w:spacing w:after="120" w:before="300"/>
      </w:pPr>
      <w:r>
        <w:rPr>
          <w:color w:val="1F3864"/>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val="clear"/>
            <w:tcMar>
              <w:top w:type="dxa" w:w="80"/>
              <w:left w:type="dxa" w:w="120"/>
              <w:bottom w:type="dxa" w:w="80"/>
              <w:right w:type="dxa" w:w="120"/>
            </w:tcMar>
          </w:tcPr>
          <w:p>
            <w:r>
              <w:rPr>
                <w:b/>
                <w:bCs/>
                <w:color w:val="FFFFFF"/>
                <w:sz w:val="21"/>
                <w:szCs w:val="21"/>
              </w:rPr>
              <w:t xml:space="preserve">Customer</w:t>
            </w:r>
          </w:p>
        </w:tc>
        <w:tc>
          <w:tcPr>
            <w:tcW w:type="dxa" w:w="6560"/>
            <w:shd w:fill="FFFFFF" w:val="clear"/>
            <w:tcMar>
              <w:top w:type="dxa" w:w="80"/>
              <w:left w:type="dxa" w:w="120"/>
              <w:bottom w:type="dxa" w:w="80"/>
              <w:right w:type="dxa" w:w="120"/>
            </w:tcMar>
          </w:tcPr>
          <w:p>
            <w:r>
              <w:rPr>
                <w:b w:val="false"/>
                <w:bCs w:val="false"/>
                <w:color w:val="000000"/>
                <w:sz w:val="21"/>
                <w:szCs w:val="21"/>
              </w:rPr>
              <w:t xml:space="preserve">[Mid-size fintech, 800 employees — name withheld]</w:t>
            </w:r>
          </w:p>
        </w:tc>
      </w:tr>
      <w:tr>
        <w:tc>
          <w:tcPr>
            <w:tcW w:type="dxa" w:w="2800"/>
            <w:shd w:fill="1F3864" w:val="clear"/>
            <w:tcMar>
              <w:top w:type="dxa" w:w="80"/>
              <w:left w:type="dxa" w:w="120"/>
              <w:bottom w:type="dxa" w:w="80"/>
              <w:right w:type="dxa" w:w="120"/>
            </w:tcMar>
          </w:tcPr>
          <w:p>
            <w:r>
              <w:rPr>
                <w:b/>
                <w:bCs/>
                <w:color w:val="FFFFFF"/>
                <w:sz w:val="21"/>
                <w:szCs w:val="21"/>
              </w:rPr>
              <w:t xml:space="preserve">Industry</w:t>
            </w:r>
          </w:p>
        </w:tc>
        <w:tc>
          <w:tcPr>
            <w:tcW w:type="dxa" w:w="6560"/>
            <w:shd w:fill="F2F6FB" w:val="clear"/>
            <w:tcMar>
              <w:top w:type="dxa" w:w="80"/>
              <w:left w:type="dxa" w:w="120"/>
              <w:bottom w:type="dxa" w:w="80"/>
              <w:right w:type="dxa" w:w="120"/>
            </w:tcMar>
          </w:tcPr>
          <w:p>
            <w:r>
              <w:rPr>
                <w:b w:val="false"/>
                <w:bCs w:val="false"/>
                <w:color w:val="000000"/>
                <w:sz w:val="21"/>
                <w:szCs w:val="21"/>
              </w:rPr>
              <w:t xml:space="preserve">[Financial services / SaaS]</w:t>
            </w:r>
          </w:p>
        </w:tc>
      </w:tr>
      <w:tr>
        <w:tc>
          <w:tcPr>
            <w:tcW w:type="dxa" w:w="2800"/>
            <w:shd w:fill="1F3864" w:val="clear"/>
            <w:tcMar>
              <w:top w:type="dxa" w:w="80"/>
              <w:left w:type="dxa" w:w="120"/>
              <w:bottom w:type="dxa" w:w="80"/>
              <w:right w:type="dxa" w:w="120"/>
            </w:tcMar>
          </w:tcPr>
          <w:p>
            <w:r>
              <w:rPr>
                <w:b/>
                <w:bCs/>
                <w:color w:val="FFFFFF"/>
                <w:sz w:val="21"/>
                <w:szCs w:val="21"/>
              </w:rPr>
              <w:t xml:space="preserve">Use case</w:t>
            </w:r>
          </w:p>
        </w:tc>
        <w:tc>
          <w:tcPr>
            <w:tcW w:type="dxa" w:w="6560"/>
            <w:shd w:fill="FFFFFF" w:val="clear"/>
            <w:tcMar>
              <w:top w:type="dxa" w:w="80"/>
              <w:left w:type="dxa" w:w="120"/>
              <w:bottom w:type="dxa" w:w="80"/>
              <w:right w:type="dxa" w:w="120"/>
            </w:tcMar>
          </w:tcPr>
          <w:p>
            <w:r>
              <w:rPr>
                <w:b w:val="false"/>
                <w:bCs w:val="false"/>
                <w:color w:val="000000"/>
                <w:sz w:val="21"/>
                <w:szCs w:val="21"/>
              </w:rPr>
              <w:t xml:space="preserve">Production observability for GenAI features: tracing, LLM cost control, automated quality evaluation</w:t>
            </w:r>
          </w:p>
        </w:tc>
      </w:tr>
      <w:tr>
        <w:tc>
          <w:tcPr>
            <w:tcW w:type="dxa" w:w="2800"/>
            <w:shd w:fill="1F3864" w:val="clear"/>
            <w:tcMar>
              <w:top w:type="dxa" w:w="80"/>
              <w:left w:type="dxa" w:w="120"/>
              <w:bottom w:type="dxa" w:w="80"/>
              <w:right w:type="dxa" w:w="120"/>
            </w:tcMar>
          </w:tcPr>
          <w:p>
            <w:r>
              <w:rPr>
                <w:b/>
                <w:bCs/>
                <w:color w:val="FFFFFF"/>
                <w:sz w:val="21"/>
                <w:szCs w:val="21"/>
              </w:rPr>
              <w:t xml:space="preserve">Offering</w:t>
            </w:r>
          </w:p>
        </w:tc>
        <w:tc>
          <w:tcPr>
            <w:tcW w:type="dxa" w:w="6560"/>
            <w:shd w:fill="F2F6FB" w:val="clear"/>
            <w:tcMar>
              <w:top w:type="dxa" w:w="80"/>
              <w:left w:type="dxa" w:w="120"/>
              <w:bottom w:type="dxa" w:w="80"/>
              <w:right w:type="dxa" w:w="120"/>
            </w:tcMar>
          </w:tcPr>
          <w:p>
            <w:r>
              <w:rPr>
                <w:b w:val="false"/>
                <w:bCs w:val="false"/>
                <w:color w:val="000000"/>
                <w:sz w:val="21"/>
                <w:szCs w:val="21"/>
              </w:rPr>
              <w:t xml:space="preserve">Trigent AI Observability Stack — single-AMI product (AMI built and verified; AWS Marketplace listing in progress — deployable today via Terraform/CloudFormation)</w:t>
            </w:r>
          </w:p>
        </w:tc>
      </w:tr>
      <w:tr>
        <w:tc>
          <w:tcPr>
            <w:tcW w:type="dxa" w:w="2800"/>
            <w:shd w:fill="1F3864" w:val="clear"/>
            <w:tcMar>
              <w:top w:type="dxa" w:w="80"/>
              <w:left w:type="dxa" w:w="120"/>
              <w:bottom w:type="dxa" w:w="80"/>
              <w:right w:type="dxa" w:w="120"/>
            </w:tcMar>
          </w:tcPr>
          <w:p>
            <w:r>
              <w:rPr>
                <w:b/>
                <w:bCs/>
                <w:color w:val="FFFFFF"/>
                <w:sz w:val="21"/>
                <w:szCs w:val="21"/>
              </w:rPr>
              <w:t xml:space="preserve">Stack</w:t>
            </w:r>
          </w:p>
        </w:tc>
        <w:tc>
          <w:tcPr>
            <w:tcW w:type="dxa" w:w="6560"/>
            <w:shd w:fill="FFFFFF" w:val="clear"/>
            <w:tcMar>
              <w:top w:type="dxa" w:w="80"/>
              <w:left w:type="dxa" w:w="120"/>
              <w:bottom w:type="dxa" w:w="80"/>
              <w:right w:type="dxa" w:w="120"/>
            </w:tcMar>
          </w:tcPr>
          <w:p>
            <w:r>
              <w:rPr>
                <w:b w:val="false"/>
                <w:bCs w:val="false"/>
                <w:color w:val="000000"/>
                <w:sz w:val="21"/>
                <w:szCs w:val="21"/>
              </w:rPr>
              <w:t xml:space="preserve">Langfuse v3 · Grafana cost dashboards · automated eval hooks · ClickHouse analytics</w:t>
            </w:r>
          </w:p>
        </w:tc>
      </w:tr>
      <w:tr>
        <w:tc>
          <w:tcPr>
            <w:tcW w:type="dxa" w:w="2800"/>
            <w:shd w:fill="1F3864" w:val="clear"/>
            <w:tcMar>
              <w:top w:type="dxa" w:w="80"/>
              <w:left w:type="dxa" w:w="120"/>
              <w:bottom w:type="dxa" w:w="80"/>
              <w:right w:type="dxa" w:w="120"/>
            </w:tcMar>
          </w:tcPr>
          <w:p>
            <w:r>
              <w:rPr>
                <w:b/>
                <w:bCs/>
                <w:color w:val="FFFFFF"/>
                <w:sz w:val="21"/>
                <w:szCs w:val="21"/>
              </w:rPr>
              <w:t xml:space="preserve">Time to live dashboards</w:t>
            </w:r>
          </w:p>
        </w:tc>
        <w:tc>
          <w:tcPr>
            <w:tcW w:type="dxa" w:w="6560"/>
            <w:shd w:fill="F2F6FB" w:val="clear"/>
            <w:tcMar>
              <w:top w:type="dxa" w:w="80"/>
              <w:left w:type="dxa" w:w="120"/>
              <w:bottom w:type="dxa" w:w="80"/>
              <w:right w:type="dxa" w:w="120"/>
            </w:tcMar>
          </w:tcPr>
          <w:p>
            <w:r>
              <w:rPr>
                <w:b w:val="false"/>
                <w:bCs w:val="false"/>
                <w:color w:val="000000"/>
                <w:sz w:val="21"/>
                <w:szCs w:val="21"/>
              </w:rPr>
              <w:t xml:space="preserve">Instance launch to running stack: 94 seconds (measured on the verified AMI); first traces on dashboards within minutes</w:t>
            </w:r>
          </w:p>
        </w:tc>
      </w:tr>
      <w:tr>
        <w:tc>
          <w:tcPr>
            <w:tcW w:type="dxa" w:w="2800"/>
            <w:shd w:fill="1F3864" w:val="clear"/>
            <w:tcMar>
              <w:top w:type="dxa" w:w="80"/>
              <w:left w:type="dxa" w:w="120"/>
              <w:bottom w:type="dxa" w:w="80"/>
              <w:right w:type="dxa" w:w="120"/>
            </w:tcMar>
          </w:tcPr>
          <w:p>
            <w:r>
              <w:rPr>
                <w:b/>
                <w:bCs/>
                <w:color w:val="FFFFFF"/>
                <w:sz w:val="21"/>
                <w:szCs w:val="21"/>
              </w:rPr>
              <w:t xml:space="preserve">Headline results</w:t>
            </w:r>
          </w:p>
        </w:tc>
        <w:tc>
          <w:tcPr>
            <w:tcW w:type="dxa" w:w="6560"/>
            <w:shd w:fill="FFFFFF" w:val="clear"/>
            <w:tcMar>
              <w:top w:type="dxa" w:w="80"/>
              <w:left w:type="dxa" w:w="120"/>
              <w:bottom w:type="dxa" w:w="80"/>
              <w:right w:type="dxa" w:w="120"/>
            </w:tcMar>
          </w:tcPr>
          <w:p>
            <w:r>
              <w:rPr>
                <w:b w:val="false"/>
                <w:bCs w:val="false"/>
                <w:color w:val="000000"/>
                <w:sz w:val="21"/>
                <w:szCs w:val="21"/>
              </w:rPr>
              <w:t xml:space="preserve">[38%] reduction in monthly LLM spend · every ingested trace auto-evaluated · [3 weeks] of platform build effort avoided</w:t>
            </w:r>
          </w:p>
        </w:tc>
      </w:tr>
    </w:tbl>
    <w:p>
      <w:pPr>
        <w:pStyle w:val="Heading1"/>
        <w:spacing w:after="120" w:before="300"/>
      </w:pPr>
      <w:r>
        <w:rPr>
          <w:color w:val="1F3864"/>
        </w:rPr>
        <w:t xml:space="preserve">Executive Summary</w:t>
      </w:r>
    </w:p>
    <w:p>
      <w:pPr>
        <w:spacing w:after="120"/>
      </w:pPr>
      <w:r>
        <w:rPr>
          <w:sz w:val="22"/>
          <w:szCs w:val="22"/>
        </w:rPr>
        <w:t xml:space="preserve">Teams shipping GenAI features hit the same wall: token spend that nobody can attribute, silent quality regressions, and no single place to answer “what did the model do, what did it cost, and was it any good?” Building that platform in-house typically consumes weeks of engineering time across five or more open-source components.</w:t>
      </w:r>
    </w:p>
    <w:p>
      <w:pPr>
        <w:spacing w:after="120"/>
      </w:pPr>
      <w:r>
        <w:rPr>
          <w:sz w:val="22"/>
          <w:szCs w:val="22"/>
        </w:rPr>
        <w:t xml:space="preserve">Trigent's AI Observability Stack packages the answer as a one-click AMI (AWS Marketplace listing in progress; Terraform/CloudFormation available today): Langfuse tracing, pre-built LLM cost dashboards, and an automated evaluation preset — pre-integrated, secured at first boot, and running inside the customer's own AWS account so no prompt or completion data ever leaves their VPC.</w:t>
      </w:r>
    </w:p>
    <w:p>
      <w:pPr>
        <w:pStyle w:val="Heading1"/>
        <w:spacing w:after="120" w:before="300"/>
      </w:pPr>
      <w:r>
        <w:rPr>
          <w:color w:val="1F3864"/>
        </w:rPr>
        <w:t xml:space="preserve">The Challenge</w:t>
      </w:r>
    </w:p>
    <w:p>
      <w:pPr>
        <w:pStyle w:val="ListParagraph"/>
        <w:numPr>
          <w:ilvl w:val="0"/>
          <w:numId w:val="2"/>
        </w:numPr>
        <w:spacing w:after="80"/>
      </w:pPr>
      <w:r>
        <w:rPr>
          <w:b/>
          <w:bCs/>
          <w:sz w:val="22"/>
          <w:szCs w:val="22"/>
        </w:rPr>
        <w:t xml:space="preserve">Unattributed spend — </w:t>
      </w:r>
      <w:r>
        <w:rPr>
          <w:sz w:val="22"/>
          <w:szCs w:val="22"/>
        </w:rPr>
        <w:t xml:space="preserve">LLM costs were growing [40%] month-over-month with no per-team or per-model attribution — finance saw one opaque API bill.</w:t>
      </w:r>
    </w:p>
    <w:p>
      <w:pPr>
        <w:pStyle w:val="ListParagraph"/>
        <w:numPr>
          <w:ilvl w:val="0"/>
          <w:numId w:val="2"/>
        </w:numPr>
        <w:spacing w:after="80"/>
      </w:pPr>
      <w:r>
        <w:rPr>
          <w:b/>
          <w:bCs/>
          <w:sz w:val="22"/>
          <w:szCs w:val="22"/>
        </w:rPr>
        <w:t xml:space="preserve">No quality signal — </w:t>
      </w:r>
      <w:r>
        <w:rPr>
          <w:sz w:val="22"/>
          <w:szCs w:val="22"/>
        </w:rPr>
        <w:t xml:space="preserve">Prompt changes shipped without regression checks; quality issues surfaced through customer complaints, not monitoring.</w:t>
      </w:r>
    </w:p>
    <w:p>
      <w:pPr>
        <w:pStyle w:val="ListParagraph"/>
        <w:numPr>
          <w:ilvl w:val="0"/>
          <w:numId w:val="2"/>
        </w:numPr>
        <w:spacing w:after="80"/>
      </w:pPr>
      <w:r>
        <w:rPr>
          <w:b/>
          <w:bCs/>
          <w:sz w:val="22"/>
          <w:szCs w:val="22"/>
        </w:rPr>
        <w:t xml:space="preserve">Data residency — </w:t>
      </w:r>
      <w:r>
        <w:rPr>
          <w:sz w:val="22"/>
          <w:szCs w:val="22"/>
        </w:rPr>
        <w:t xml:space="preserve">Compliance required prompts and completions to stay inside the customer's own AWS account, ruling out most SaaS observability tools.</w:t>
      </w:r>
    </w:p>
    <w:p>
      <w:pPr>
        <w:pStyle w:val="ListParagraph"/>
        <w:numPr>
          <w:ilvl w:val="0"/>
          <w:numId w:val="2"/>
        </w:numPr>
        <w:spacing w:after="80"/>
      </w:pPr>
      <w:r>
        <w:rPr>
          <w:b/>
          <w:bCs/>
          <w:sz w:val="22"/>
          <w:szCs w:val="22"/>
        </w:rPr>
        <w:t xml:space="preserve">Platform tax — </w:t>
      </w:r>
      <w:r>
        <w:rPr>
          <w:sz w:val="22"/>
          <w:szCs w:val="22"/>
        </w:rPr>
        <w:t xml:space="preserve">An internal build was scoped at [3–4 weeks] across Langfuse, ClickHouse, Grafana, and custom evaluators — time the team did not have.</w:t>
      </w:r>
    </w:p>
    <w:p>
      <w:pPr>
        <w:pStyle w:val="Heading1"/>
        <w:spacing w:after="120" w:before="300"/>
      </w:pPr>
      <w:r>
        <w:rPr>
          <w:color w:val="1F3864"/>
        </w:rPr>
        <w:t xml:space="preserve">The Solution</w:t>
      </w:r>
    </w:p>
    <w:p>
      <w:pPr>
        <w:spacing w:after="120"/>
      </w:pPr>
      <w:r>
        <w:rPr>
          <w:sz w:val="22"/>
          <w:szCs w:val="22"/>
        </w:rPr>
        <w:t xml:space="preserve">The customer launched the AI Observability Stack AMI into a private subnet in their own AWS account (via AWS Marketplace once listed; via the provided CloudFormation or Terraform today). Everything below ships pre-wired:</w:t>
      </w:r>
    </w:p>
    <w:p>
      <w:pPr>
        <w:pStyle w:val="ListParagraph"/>
        <w:numPr>
          <w:ilvl w:val="0"/>
          <w:numId w:val="2"/>
        </w:numPr>
        <w:spacing w:after="80"/>
      </w:pPr>
      <w:r>
        <w:rPr>
          <w:b/>
          <w:bCs/>
          <w:sz w:val="22"/>
          <w:szCs w:val="22"/>
        </w:rPr>
        <w:t xml:space="preserve">Langfuse v3 tracing — </w:t>
      </w:r>
      <w:r>
        <w:rPr>
          <w:sz w:val="22"/>
          <w:szCs w:val="22"/>
        </w:rPr>
        <w:t xml:space="preserve">Full trace tree for every LLM call — prompts, completions, latency, token usage — with prompt management and a scores UI, ingested via Langfuse SDKs or OpenTelemetry.</w:t>
      </w:r>
    </w:p>
    <w:p>
      <w:pPr>
        <w:pStyle w:val="ListParagraph"/>
        <w:numPr>
          <w:ilvl w:val="0"/>
          <w:numId w:val="2"/>
        </w:numPr>
        <w:spacing w:after="80"/>
      </w:pPr>
      <w:r>
        <w:rPr>
          <w:b/>
          <w:bCs/>
          <w:sz w:val="22"/>
          <w:szCs w:val="22"/>
        </w:rPr>
        <w:t xml:space="preserve">Cost dashboards — </w:t>
      </w:r>
      <w:r>
        <w:rPr>
          <w:sz w:val="22"/>
          <w:szCs w:val="22"/>
        </w:rPr>
        <w:t xml:space="preserve">Grafana dashboards querying ClickHouse directly: total spend, spend by model, tokens over time, p95 latency, and the most expensive traces — live within minutes of the first trace.</w:t>
      </w:r>
    </w:p>
    <w:p>
      <w:pPr>
        <w:pStyle w:val="ListParagraph"/>
        <w:numPr>
          <w:ilvl w:val="0"/>
          <w:numId w:val="2"/>
        </w:numPr>
        <w:spacing w:after="80"/>
      </w:pPr>
      <w:r>
        <w:rPr>
          <w:b/>
          <w:bCs/>
          <w:sz w:val="22"/>
          <w:szCs w:val="22"/>
        </w:rPr>
        <w:t xml:space="preserve">Eval hooks preset — </w:t>
      </w:r>
      <w:r>
        <w:rPr>
          <w:sz w:val="22"/>
          <w:szCs w:val="22"/>
        </w:rPr>
        <w:t xml:space="preserve">A background worker that scores every new trace automatically against configurable presets: latency SLO, per-trace cost budget, refusal detection, and empty-output detection. Thresholds live in one YAML file.</w:t>
      </w:r>
    </w:p>
    <w:p>
      <w:pPr>
        <w:pStyle w:val="ListParagraph"/>
        <w:numPr>
          <w:ilvl w:val="0"/>
          <w:numId w:val="2"/>
        </w:numPr>
        <w:spacing w:after="80"/>
      </w:pPr>
      <w:r>
        <w:rPr>
          <w:b/>
          <w:bCs/>
          <w:sz w:val="22"/>
          <w:szCs w:val="22"/>
        </w:rPr>
        <w:t xml:space="preserve">Security posture — </w:t>
      </w:r>
      <w:r>
        <w:rPr>
          <w:sz w:val="22"/>
          <w:szCs w:val="22"/>
        </w:rPr>
        <w:t xml:space="preserve">All credentials are generated at first boot (nothing hardcoded), the EBS volume is encrypted, and the stack runs entirely within the customer's VPC.</w:t>
      </w:r>
    </w:p>
    <w:p>
      <w:pPr>
        <w:pStyle w:val="Heading1"/>
        <w:spacing w:after="120" w:before="300"/>
      </w:pPr>
      <w:r>
        <w:rPr>
          <w:color w:val="1F3864"/>
        </w:rPr>
        <w:t xml:space="preserve">Architecture</w:t>
      </w:r>
    </w:p>
    <w:p>
      <w:pPr>
        <w:spacing w:after="120"/>
        <w:jc w:val="center"/>
      </w:pPr>
      <w:r>
        <w:drawing>
          <wp:inline distT="0" distB="0" distL="0" distR="0">
            <wp:extent cx="6096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790950"/>
                    </a:xfrm>
                    <a:prstGeom prst="rect">
                      <a:avLst/>
                    </a:prstGeom>
                  </pic:spPr>
                </pic:pic>
              </a:graphicData>
            </a:graphic>
          </wp:inline>
        </w:drawing>
      </w:r>
    </w:p>
    <w:p>
      <w:pPr>
        <w:spacing w:after="120"/>
      </w:pPr>
      <w:r>
        <w:rPr>
          <w:sz w:val="22"/>
          <w:szCs w:val="22"/>
        </w:rPr>
        <w:t xml:space="preserve">A single EC2 instance runs the full stack under Docker Compose: Langfuse v3 (web + worker) for tracing, PostgreSQL for application metadata, ClickHouse for high-volume trace analytics, Redis for queues, MinIO for S3-compatible event storage, Grafana for the cost dashboards, and the Trigent eval-hooks worker. The same architecture scales up by instance size, and a high-availability tier (RDS + managed ClickHouse) is available as a services engagement.</w:t>
      </w:r>
    </w:p>
    <w:p>
      <w:pPr>
        <w:pStyle w:val="Heading1"/>
        <w:spacing w:after="120" w:before="300"/>
      </w:pPr>
      <w:r>
        <w:rPr>
          <w:color w:val="1F3864"/>
        </w:rPr>
        <w:t xml:space="preserve">Deployment via AWS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val="clear"/>
            <w:tcMar>
              <w:top w:type="dxa" w:w="80"/>
              <w:left w:type="dxa" w:w="120"/>
              <w:bottom w:type="dxa" w:w="80"/>
              <w:right w:type="dxa" w:w="120"/>
            </w:tcMar>
          </w:tcPr>
          <w:p>
            <w:r>
              <w:rPr>
                <w:b/>
                <w:bCs/>
                <w:color w:val="FFFFFF"/>
                <w:sz w:val="21"/>
                <w:szCs w:val="21"/>
              </w:rPr>
              <w:t xml:space="preserve">Asset type</w:t>
            </w:r>
          </w:p>
        </w:tc>
        <w:tc>
          <w:tcPr>
            <w:tcW w:type="dxa" w:w="6560"/>
            <w:shd w:fill="FFFFFF" w:val="clear"/>
            <w:tcMar>
              <w:top w:type="dxa" w:w="80"/>
              <w:left w:type="dxa" w:w="120"/>
              <w:bottom w:type="dxa" w:w="80"/>
              <w:right w:type="dxa" w:w="120"/>
            </w:tcMar>
          </w:tcPr>
          <w:p>
            <w:r>
              <w:rPr>
                <w:b w:val="false"/>
                <w:bCs w:val="false"/>
                <w:color w:val="000000"/>
                <w:sz w:val="21"/>
                <w:szCs w:val="21"/>
              </w:rPr>
              <w:t xml:space="preserve">AMI — built and verified: ami-082e9452f2aff9f99 (us-east-1); v1.0.1 rebuild with the updated eval worker precedes submission. Marketplace listing in progress; on publication AWS clones it to enabled regions</w:t>
            </w:r>
          </w:p>
        </w:tc>
      </w:tr>
      <w:tr>
        <w:tc>
          <w:tcPr>
            <w:tcW w:type="dxa" w:w="2800"/>
            <w:shd w:fill="1F3864" w:val="clear"/>
            <w:tcMar>
              <w:top w:type="dxa" w:w="80"/>
              <w:left w:type="dxa" w:w="120"/>
              <w:bottom w:type="dxa" w:w="80"/>
              <w:right w:type="dxa" w:w="120"/>
            </w:tcMar>
          </w:tcPr>
          <w:p>
            <w:r>
              <w:rPr>
                <w:b/>
                <w:bCs/>
                <w:color w:val="FFFFFF"/>
                <w:sz w:val="21"/>
                <w:szCs w:val="21"/>
              </w:rPr>
              <w:t xml:space="preserve">Provisioning</w:t>
            </w:r>
          </w:p>
        </w:tc>
        <w:tc>
          <w:tcPr>
            <w:tcW w:type="dxa" w:w="6560"/>
            <w:shd w:fill="F2F6FB" w:val="clear"/>
            <w:tcMar>
              <w:top w:type="dxa" w:w="80"/>
              <w:left w:type="dxa" w:w="120"/>
              <w:bottom w:type="dxa" w:w="80"/>
              <w:right w:type="dxa" w:w="120"/>
            </w:tcMar>
          </w:tcPr>
          <w:p>
            <w:r>
              <w:rPr>
                <w:b w:val="false"/>
                <w:bCs w:val="false"/>
                <w:color w:val="000000"/>
                <w:sz w:val="21"/>
                <w:szCs w:val="21"/>
              </w:rPr>
              <w:t xml:space="preserve">CloudFormation or Terraform (provided, available today); Marketplace 1-click on listing. Launch to running stack: 94 seconds measured on the AMI (~8 min for Terraform test harness, which installs at boot)</w:t>
            </w:r>
          </w:p>
        </w:tc>
      </w:tr>
      <w:tr>
        <w:tc>
          <w:tcPr>
            <w:tcW w:type="dxa" w:w="2800"/>
            <w:shd w:fill="1F3864" w:val="clear"/>
            <w:tcMar>
              <w:top w:type="dxa" w:w="80"/>
              <w:left w:type="dxa" w:w="120"/>
              <w:bottom w:type="dxa" w:w="80"/>
              <w:right w:type="dxa" w:w="120"/>
            </w:tcMar>
          </w:tcPr>
          <w:p>
            <w:r>
              <w:rPr>
                <w:b/>
                <w:bCs/>
                <w:color w:val="FFFFFF"/>
                <w:sz w:val="21"/>
                <w:szCs w:val="21"/>
              </w:rPr>
              <w:t xml:space="preserve">Sizing</w:t>
            </w:r>
          </w:p>
        </w:tc>
        <w:tc>
          <w:tcPr>
            <w:tcW w:type="dxa" w:w="6560"/>
            <w:shd w:fill="FFFFFF" w:val="clear"/>
            <w:tcMar>
              <w:top w:type="dxa" w:w="80"/>
              <w:left w:type="dxa" w:w="120"/>
              <w:bottom w:type="dxa" w:w="80"/>
              <w:right w:type="dxa" w:w="120"/>
            </w:tcMar>
          </w:tcPr>
          <w:p>
            <w:r>
              <w:rPr>
                <w:b w:val="false"/>
                <w:bCs w:val="false"/>
                <w:color w:val="000000"/>
                <w:sz w:val="21"/>
                <w:szCs w:val="21"/>
              </w:rPr>
              <w:t xml:space="preserve">t3.large (pilot) → t3.xlarge / m6i.2xlarge (production volumes)</w:t>
            </w:r>
          </w:p>
        </w:tc>
      </w:tr>
      <w:tr>
        <w:tc>
          <w:tcPr>
            <w:tcW w:type="dxa" w:w="2800"/>
            <w:shd w:fill="1F3864" w:val="clear"/>
            <w:tcMar>
              <w:top w:type="dxa" w:w="80"/>
              <w:left w:type="dxa" w:w="120"/>
              <w:bottom w:type="dxa" w:w="80"/>
              <w:right w:type="dxa" w:w="120"/>
            </w:tcMar>
          </w:tcPr>
          <w:p>
            <w:r>
              <w:rPr>
                <w:b/>
                <w:bCs/>
                <w:color w:val="FFFFFF"/>
                <w:sz w:val="21"/>
                <w:szCs w:val="21"/>
              </w:rPr>
              <w:t xml:space="preserve">Billing</w:t>
            </w:r>
          </w:p>
        </w:tc>
        <w:tc>
          <w:tcPr>
            <w:tcW w:type="dxa" w:w="6560"/>
            <w:shd w:fill="F2F6FB" w:val="clear"/>
            <w:tcMar>
              <w:top w:type="dxa" w:w="80"/>
              <w:left w:type="dxa" w:w="120"/>
              <w:bottom w:type="dxa" w:w="80"/>
              <w:right w:type="dxa" w:w="120"/>
            </w:tcMar>
          </w:tcPr>
          <w:p>
            <w:r>
              <w:rPr>
                <w:b w:val="false"/>
                <w:bCs w:val="false"/>
                <w:color w:val="000000"/>
                <w:sz w:val="21"/>
                <w:szCs w:val="21"/>
              </w:rPr>
              <w:t xml:space="preserve">Hourly via AWS Marketplace with annual option · consolidated on the customer's AWS bill</w:t>
            </w:r>
          </w:p>
        </w:tc>
      </w:tr>
      <w:tr>
        <w:tc>
          <w:tcPr>
            <w:tcW w:type="dxa" w:w="2800"/>
            <w:shd w:fill="1F3864" w:val="clear"/>
            <w:tcMar>
              <w:top w:type="dxa" w:w="80"/>
              <w:left w:type="dxa" w:w="120"/>
              <w:bottom w:type="dxa" w:w="80"/>
              <w:right w:type="dxa" w:w="120"/>
            </w:tcMar>
          </w:tcPr>
          <w:p>
            <w:r>
              <w:rPr>
                <w:b/>
                <w:bCs/>
                <w:color w:val="FFFFFF"/>
                <w:sz w:val="21"/>
                <w:szCs w:val="21"/>
              </w:rPr>
              <w:t xml:space="preserve">Services attach</w:t>
            </w:r>
          </w:p>
        </w:tc>
        <w:tc>
          <w:tcPr>
            <w:tcW w:type="dxa" w:w="6560"/>
            <w:shd w:fill="FFFFFF" w:val="clear"/>
            <w:tcMar>
              <w:top w:type="dxa" w:w="80"/>
              <w:left w:type="dxa" w:w="120"/>
              <w:bottom w:type="dxa" w:w="80"/>
              <w:right w:type="dxa" w:w="120"/>
            </w:tcMar>
          </w:tcPr>
          <w:p>
            <w:r>
              <w:rPr>
                <w:b w:val="false"/>
                <w:bCs w:val="false"/>
                <w:color w:val="000000"/>
                <w:sz w:val="21"/>
                <w:szCs w:val="21"/>
              </w:rPr>
              <w:t xml:space="preserve">Trigent packages: dashboard customization, custom eval hooks, LLM-as-judge evaluators, HA architecture</w:t>
            </w:r>
          </w:p>
        </w:tc>
      </w:tr>
    </w:tbl>
    <w:p>
      <w:pPr>
        <w:pStyle w:val="Heading1"/>
        <w:spacing w:after="120" w:before="300"/>
      </w:pPr>
      <w:r>
        <w:rPr>
          <w:color w:val="1F3864"/>
        </w:rPr>
        <w:t xml:space="preserve">Running Cost (Infrastructure)</w:t>
      </w:r>
    </w:p>
    <w:p>
      <w:pPr>
        <w:spacing w:after="120"/>
      </w:pPr>
      <w:r>
        <w:rPr>
          <w:sz w:val="22"/>
          <w:szCs w:val="22"/>
        </w:rPr>
        <w:t xml:space="preserve">The stack runs entirely in the customer's AWS account on a single EC2 instance, so infrastructure cost is transparent and appears on the customer's own AWS bill. Indicative on-demand pricing (us-east-1 / ap-south-1, July 2026; ₹ approximate at ₹84/USD):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shd w:fill="1F3864" w:val="clear"/>
            <w:tcMar>
              <w:top w:type="dxa" w:w="80"/>
              <w:left w:type="dxa" w:w="120"/>
              <w:bottom w:type="dxa" w:w="80"/>
              <w:right w:type="dxa" w:w="120"/>
            </w:tcMar>
          </w:tcPr>
          <w:p>
            <w:r>
              <w:rPr>
                <w:b/>
                <w:bCs/>
                <w:color w:val="FFFFFF"/>
                <w:sz w:val="21"/>
                <w:szCs w:val="21"/>
              </w:rPr>
              <w:t xml:space="preserve">Configuration</w:t>
            </w:r>
          </w:p>
        </w:tc>
        <w:tc>
          <w:tcPr>
            <w:tcW w:type="dxa" w:w="2080"/>
            <w:shd w:fill="1F3864" w:val="clear"/>
            <w:tcMar>
              <w:top w:type="dxa" w:w="80"/>
              <w:left w:type="dxa" w:w="120"/>
              <w:bottom w:type="dxa" w:w="80"/>
              <w:right w:type="dxa" w:w="120"/>
            </w:tcMar>
          </w:tcPr>
          <w:p>
            <w:r>
              <w:rPr>
                <w:b/>
                <w:bCs/>
                <w:color w:val="FFFFFF"/>
                <w:sz w:val="21"/>
                <w:szCs w:val="21"/>
              </w:rPr>
              <w:t xml:space="preserve">Per hour</w:t>
            </w:r>
          </w:p>
        </w:tc>
        <w:tc>
          <w:tcPr>
            <w:tcW w:type="dxa" w:w="2080"/>
            <w:shd w:fill="1F3864" w:val="clear"/>
            <w:tcMar>
              <w:top w:type="dxa" w:w="80"/>
              <w:left w:type="dxa" w:w="120"/>
              <w:bottom w:type="dxa" w:w="80"/>
              <w:right w:type="dxa" w:w="120"/>
            </w:tcMar>
          </w:tcPr>
          <w:p>
            <w:r>
              <w:rPr>
                <w:b/>
                <w:bCs/>
                <w:color w:val="FFFFFF"/>
                <w:sz w:val="21"/>
                <w:szCs w:val="21"/>
              </w:rPr>
              <w:t xml:space="preserve">Per day (24h)</w:t>
            </w:r>
          </w:p>
        </w:tc>
        <w:tc>
          <w:tcPr>
            <w:tcW w:type="dxa" w:w="2080"/>
            <w:shd w:fill="1F3864" w:val="clear"/>
            <w:tcMar>
              <w:top w:type="dxa" w:w="80"/>
              <w:left w:type="dxa" w:w="120"/>
              <w:bottom w:type="dxa" w:w="80"/>
              <w:right w:type="dxa" w:w="120"/>
            </w:tcMar>
          </w:tcPr>
          <w:p>
            <w:r>
              <w:rPr>
                <w:b/>
                <w:bCs/>
                <w:color w:val="FFFFFF"/>
                <w:sz w:val="21"/>
                <w:szCs w:val="21"/>
              </w:rPr>
              <w:t xml:space="preserve">Per month (24×7)</w:t>
            </w:r>
          </w:p>
        </w:tc>
      </w:tr>
      <w:tr>
        <w:tc>
          <w:tcPr>
            <w:tcW w:type="dxa" w:w="3120"/>
            <w:tcMar>
              <w:top w:type="dxa" w:w="80"/>
              <w:left w:type="dxa" w:w="120"/>
              <w:bottom w:type="dxa" w:w="80"/>
              <w:right w:type="dxa" w:w="120"/>
            </w:tcMar>
          </w:tcPr>
          <w:p>
            <w:r>
              <w:rPr>
                <w:b w:val="false"/>
                <w:bCs w:val="false"/>
                <w:color w:val="000000"/>
                <w:sz w:val="21"/>
                <w:szCs w:val="21"/>
              </w:rPr>
              <w:t xml:space="preserve">Pilot — t3.large (2 vCPU, 8 GB) + 60 GB gp3 + public IP</w:t>
            </w:r>
          </w:p>
        </w:tc>
        <w:tc>
          <w:tcPr>
            <w:tcW w:type="dxa" w:w="2080"/>
            <w:tcMar>
              <w:top w:type="dxa" w:w="80"/>
              <w:left w:type="dxa" w:w="120"/>
              <w:bottom w:type="dxa" w:w="80"/>
              <w:right w:type="dxa" w:w="120"/>
            </w:tcMar>
          </w:tcPr>
          <w:p>
            <w:r>
              <w:rPr>
                <w:b w:val="false"/>
                <w:bCs w:val="false"/>
                <w:color w:val="000000"/>
                <w:sz w:val="21"/>
                <w:szCs w:val="21"/>
              </w:rPr>
              <w:t xml:space="preserve">~$0.09  (₹8)</w:t>
            </w:r>
          </w:p>
        </w:tc>
        <w:tc>
          <w:tcPr>
            <w:tcW w:type="dxa" w:w="2080"/>
            <w:tcMar>
              <w:top w:type="dxa" w:w="80"/>
              <w:left w:type="dxa" w:w="120"/>
              <w:bottom w:type="dxa" w:w="80"/>
              <w:right w:type="dxa" w:w="120"/>
            </w:tcMar>
          </w:tcPr>
          <w:p>
            <w:r>
              <w:rPr>
                <w:b w:val="false"/>
                <w:bCs w:val="false"/>
                <w:color w:val="000000"/>
                <w:sz w:val="21"/>
                <w:szCs w:val="21"/>
              </w:rPr>
              <w:t xml:space="preserve">~$2.30  (₹195)</w:t>
            </w:r>
          </w:p>
        </w:tc>
        <w:tc>
          <w:tcPr>
            <w:tcW w:type="dxa" w:w="2080"/>
            <w:tcMar>
              <w:top w:type="dxa" w:w="80"/>
              <w:left w:type="dxa" w:w="120"/>
              <w:bottom w:type="dxa" w:w="80"/>
              <w:right w:type="dxa" w:w="120"/>
            </w:tcMar>
          </w:tcPr>
          <w:p>
            <w:r>
              <w:rPr>
                <w:b w:val="false"/>
                <w:bCs w:val="false"/>
                <w:color w:val="000000"/>
                <w:sz w:val="21"/>
                <w:szCs w:val="21"/>
              </w:rPr>
              <w:t xml:space="preserve">~$69  (₹5,800)</w:t>
            </w:r>
          </w:p>
        </w:tc>
      </w:tr>
      <w:tr>
        <w:tc>
          <w:tcPr>
            <w:tcW w:type="dxa" w:w="3120"/>
            <w:shd w:fill="F2F6FB" w:val="clear"/>
            <w:tcMar>
              <w:top w:type="dxa" w:w="80"/>
              <w:left w:type="dxa" w:w="120"/>
              <w:bottom w:type="dxa" w:w="80"/>
              <w:right w:type="dxa" w:w="120"/>
            </w:tcMar>
          </w:tcPr>
          <w:p>
            <w:r>
              <w:rPr>
                <w:b w:val="false"/>
                <w:bCs w:val="false"/>
                <w:color w:val="000000"/>
                <w:sz w:val="21"/>
                <w:szCs w:val="21"/>
              </w:rPr>
              <w:t xml:space="preserve">Production — t3.xlarge (4 vCPU, 16 GB) + 100 GB gp3</w:t>
            </w:r>
          </w:p>
        </w:tc>
        <w:tc>
          <w:tcPr>
            <w:tcW w:type="dxa" w:w="2080"/>
            <w:shd w:fill="F2F6FB" w:val="clear"/>
            <w:tcMar>
              <w:top w:type="dxa" w:w="80"/>
              <w:left w:type="dxa" w:w="120"/>
              <w:bottom w:type="dxa" w:w="80"/>
              <w:right w:type="dxa" w:w="120"/>
            </w:tcMar>
          </w:tcPr>
          <w:p>
            <w:r>
              <w:rPr>
                <w:b w:val="false"/>
                <w:bCs w:val="false"/>
                <w:color w:val="000000"/>
                <w:sz w:val="21"/>
                <w:szCs w:val="21"/>
              </w:rPr>
              <w:t xml:space="preserve">~$0.18  (₹15)</w:t>
            </w:r>
          </w:p>
        </w:tc>
        <w:tc>
          <w:tcPr>
            <w:tcW w:type="dxa" w:w="2080"/>
            <w:shd w:fill="F2F6FB" w:val="clear"/>
            <w:tcMar>
              <w:top w:type="dxa" w:w="80"/>
              <w:left w:type="dxa" w:w="120"/>
              <w:bottom w:type="dxa" w:w="80"/>
              <w:right w:type="dxa" w:w="120"/>
            </w:tcMar>
          </w:tcPr>
          <w:p>
            <w:r>
              <w:rPr>
                <w:b w:val="false"/>
                <w:bCs w:val="false"/>
                <w:color w:val="000000"/>
                <w:sz w:val="21"/>
                <w:szCs w:val="21"/>
              </w:rPr>
              <w:t xml:space="preserve">~$4.30  (₹360)</w:t>
            </w:r>
          </w:p>
        </w:tc>
        <w:tc>
          <w:tcPr>
            <w:tcW w:type="dxa" w:w="2080"/>
            <w:shd w:fill="F2F6FB" w:val="clear"/>
            <w:tcMar>
              <w:top w:type="dxa" w:w="80"/>
              <w:left w:type="dxa" w:w="120"/>
              <w:bottom w:type="dxa" w:w="80"/>
              <w:right w:type="dxa" w:w="120"/>
            </w:tcMar>
          </w:tcPr>
          <w:p>
            <w:r>
              <w:rPr>
                <w:b w:val="false"/>
                <w:bCs w:val="false"/>
                <w:color w:val="000000"/>
                <w:sz w:val="21"/>
                <w:szCs w:val="21"/>
              </w:rPr>
              <w:t xml:space="preserve">~$130  (₹10,900)</w:t>
            </w:r>
          </w:p>
        </w:tc>
      </w:tr>
      <w:tr>
        <w:tc>
          <w:tcPr>
            <w:tcW w:type="dxa" w:w="3120"/>
            <w:tcMar>
              <w:top w:type="dxa" w:w="80"/>
              <w:left w:type="dxa" w:w="120"/>
              <w:bottom w:type="dxa" w:w="80"/>
              <w:right w:type="dxa" w:w="120"/>
            </w:tcMar>
          </w:tcPr>
          <w:p>
            <w:r>
              <w:rPr>
                <w:b w:val="false"/>
                <w:bCs w:val="false"/>
                <w:color w:val="000000"/>
                <w:sz w:val="21"/>
                <w:szCs w:val="21"/>
              </w:rPr>
              <w:t xml:space="preserve">Heavy — m6i.2xlarge (8 vCPU, 32 GB) + 200 GB gp3</w:t>
            </w:r>
          </w:p>
        </w:tc>
        <w:tc>
          <w:tcPr>
            <w:tcW w:type="dxa" w:w="2080"/>
            <w:tcMar>
              <w:top w:type="dxa" w:w="80"/>
              <w:left w:type="dxa" w:w="120"/>
              <w:bottom w:type="dxa" w:w="80"/>
              <w:right w:type="dxa" w:w="120"/>
            </w:tcMar>
          </w:tcPr>
          <w:p>
            <w:r>
              <w:rPr>
                <w:b w:val="false"/>
                <w:bCs w:val="false"/>
                <w:color w:val="000000"/>
                <w:sz w:val="21"/>
                <w:szCs w:val="21"/>
              </w:rPr>
              <w:t xml:space="preserve">~$0.42  (₹35)</w:t>
            </w:r>
          </w:p>
        </w:tc>
        <w:tc>
          <w:tcPr>
            <w:tcW w:type="dxa" w:w="2080"/>
            <w:tcMar>
              <w:top w:type="dxa" w:w="80"/>
              <w:left w:type="dxa" w:w="120"/>
              <w:bottom w:type="dxa" w:w="80"/>
              <w:right w:type="dxa" w:w="120"/>
            </w:tcMar>
          </w:tcPr>
          <w:p>
            <w:r>
              <w:rPr>
                <w:b w:val="false"/>
                <w:bCs w:val="false"/>
                <w:color w:val="000000"/>
                <w:sz w:val="21"/>
                <w:szCs w:val="21"/>
              </w:rPr>
              <w:t xml:space="preserve">~$10  (₹850)</w:t>
            </w:r>
          </w:p>
        </w:tc>
        <w:tc>
          <w:tcPr>
            <w:tcW w:type="dxa" w:w="2080"/>
            <w:tcMar>
              <w:top w:type="dxa" w:w="80"/>
              <w:left w:type="dxa" w:w="120"/>
              <w:bottom w:type="dxa" w:w="80"/>
              <w:right w:type="dxa" w:w="120"/>
            </w:tcMar>
          </w:tcPr>
          <w:p>
            <w:r>
              <w:rPr>
                <w:b w:val="false"/>
                <w:bCs w:val="false"/>
                <w:color w:val="000000"/>
                <w:sz w:val="21"/>
                <w:szCs w:val="21"/>
              </w:rPr>
              <w:t xml:space="preserve">~$305  (₹25,600)</w:t>
            </w:r>
          </w:p>
        </w:tc>
      </w:tr>
      <w:tr>
        <w:tc>
          <w:tcPr>
            <w:tcW w:type="dxa" w:w="3120"/>
            <w:shd w:fill="F2F6FB" w:val="clear"/>
            <w:tcMar>
              <w:top w:type="dxa" w:w="80"/>
              <w:left w:type="dxa" w:w="120"/>
              <w:bottom w:type="dxa" w:w="80"/>
              <w:right w:type="dxa" w:w="120"/>
            </w:tcMar>
          </w:tcPr>
          <w:p>
            <w:r>
              <w:rPr>
                <w:b w:val="false"/>
                <w:bCs w:val="false"/>
                <w:color w:val="000000"/>
                <w:sz w:val="21"/>
                <w:szCs w:val="21"/>
              </w:rPr>
              <w:t xml:space="preserve">Stopped (any tier) — data retained on EBS</w:t>
            </w:r>
          </w:p>
        </w:tc>
        <w:tc>
          <w:tcPr>
            <w:tcW w:type="dxa" w:w="2080"/>
            <w:shd w:fill="F2F6FB" w:val="clear"/>
            <w:tcMar>
              <w:top w:type="dxa" w:w="80"/>
              <w:left w:type="dxa" w:w="120"/>
              <w:bottom w:type="dxa" w:w="80"/>
              <w:right w:type="dxa" w:w="120"/>
            </w:tcMar>
          </w:tcPr>
          <w:p>
            <w:r>
              <w:rPr>
                <w:b w:val="false"/>
                <w:bCs w:val="false"/>
                <w:color w:val="000000"/>
                <w:sz w:val="21"/>
                <w:szCs w:val="21"/>
              </w:rPr>
              <w:t xml:space="preserve">~$0.01  (₹0.6)</w:t>
            </w:r>
          </w:p>
        </w:tc>
        <w:tc>
          <w:tcPr>
            <w:tcW w:type="dxa" w:w="2080"/>
            <w:shd w:fill="F2F6FB" w:val="clear"/>
            <w:tcMar>
              <w:top w:type="dxa" w:w="80"/>
              <w:left w:type="dxa" w:w="120"/>
              <w:bottom w:type="dxa" w:w="80"/>
              <w:right w:type="dxa" w:w="120"/>
            </w:tcMar>
          </w:tcPr>
          <w:p>
            <w:r>
              <w:rPr>
                <w:b w:val="false"/>
                <w:bCs w:val="false"/>
                <w:color w:val="000000"/>
                <w:sz w:val="21"/>
                <w:szCs w:val="21"/>
              </w:rPr>
              <w:t xml:space="preserve">~$0.16–0.55 (₹14–46)</w:t>
            </w:r>
          </w:p>
        </w:tc>
        <w:tc>
          <w:tcPr>
            <w:tcW w:type="dxa" w:w="2080"/>
            <w:shd w:fill="F2F6FB" w:val="clear"/>
            <w:tcMar>
              <w:top w:type="dxa" w:w="80"/>
              <w:left w:type="dxa" w:w="120"/>
              <w:bottom w:type="dxa" w:w="80"/>
              <w:right w:type="dxa" w:w="120"/>
            </w:tcMar>
          </w:tcPr>
          <w:p>
            <w:r>
              <w:rPr>
                <w:b w:val="false"/>
                <w:bCs w:val="false"/>
                <w:color w:val="000000"/>
                <w:sz w:val="21"/>
                <w:szCs w:val="21"/>
              </w:rPr>
              <w:t xml:space="preserve">~$5–17  (₹420–1,400)</w:t>
            </w:r>
          </w:p>
        </w:tc>
      </w:tr>
    </w:tbl>
    <w:p>
      <w:pPr>
        <w:spacing w:after="120" w:before="120"/>
      </w:pPr>
      <w:r>
        <w:rPr>
          <w:i/>
          <w:iCs/>
          <w:color w:val="595959"/>
          <w:sz w:val="20"/>
          <w:szCs w:val="20"/>
        </w:rPr>
        <w:t xml:space="preserve">For perspective: even the production tier costs less per month than a few hours of the engineering time an internal build consumes — and a pilot evaluation (a working day, then destroyed) costs under $1. Marketplace software pricing (hourly/annual) is additional and listed on the AWS Marketplace listing: [pricing TBD]. Prices vary slightly by region and change over time; confirm current rates via the AWS pricing calculator.</w:t>
      </w:r>
    </w:p>
    <w:p>
      <w:pPr>
        <w:pStyle w:val="Heading1"/>
        <w:spacing w:after="120" w:before="300"/>
      </w:pPr>
      <w:r>
        <w:rPr>
          <w:color w:val="1F3864"/>
        </w:rPr>
        <w:t xml:space="preserve">Results</w:t>
      </w:r>
    </w:p>
    <w:p>
      <w:pPr>
        <w:pStyle w:val="ListParagraph"/>
        <w:numPr>
          <w:ilvl w:val="0"/>
          <w:numId w:val="2"/>
        </w:numPr>
        <w:spacing w:after="80"/>
      </w:pPr>
      <w:r>
        <w:rPr>
          <w:b/>
          <w:bCs/>
          <w:sz w:val="22"/>
          <w:szCs w:val="22"/>
        </w:rPr>
        <w:t xml:space="preserve">[38%] lower LLM spend — </w:t>
      </w:r>
      <w:r>
        <w:rPr>
          <w:sz w:val="22"/>
          <w:szCs w:val="22"/>
        </w:rPr>
        <w:t xml:space="preserve">Model-level cost attribution surfaced that [62%] of spend came from one over-provisioned model; routing the workload to a smaller model cut monthly LLM cost by [38%].</w:t>
      </w:r>
    </w:p>
    <w:p>
      <w:pPr>
        <w:pStyle w:val="ListParagraph"/>
        <w:numPr>
          <w:ilvl w:val="0"/>
          <w:numId w:val="2"/>
        </w:numPr>
        <w:spacing w:after="80"/>
      </w:pPr>
      <w:r>
        <w:rPr>
          <w:b/>
          <w:bCs/>
          <w:sz w:val="22"/>
          <w:szCs w:val="22"/>
        </w:rPr>
        <w:t xml:space="preserve">Regressions caught in hours — </w:t>
      </w:r>
      <w:r>
        <w:rPr>
          <w:sz w:val="22"/>
          <w:szCs w:val="22"/>
        </w:rPr>
        <w:t xml:space="preserve">Every production trace is now scored automatically; a refusal-rate spike after a prompt change was caught in [under an hour], before customers reported it.</w:t>
      </w:r>
    </w:p>
    <w:p>
      <w:pPr>
        <w:pStyle w:val="ListParagraph"/>
        <w:numPr>
          <w:ilvl w:val="0"/>
          <w:numId w:val="2"/>
        </w:numPr>
        <w:spacing w:after="80"/>
      </w:pPr>
      <w:r>
        <w:rPr>
          <w:b/>
          <w:bCs/>
          <w:sz w:val="22"/>
          <w:szCs w:val="22"/>
        </w:rPr>
        <w:t xml:space="preserve">[3 weeks] saved — </w:t>
      </w:r>
      <w:r>
        <w:rPr>
          <w:sz w:val="22"/>
          <w:szCs w:val="22"/>
        </w:rPr>
        <w:t xml:space="preserve">The platform was live in [one afternoon] versus a [3–4 week] internal build — engineering time redirected to the product roadmap.</w:t>
      </w:r>
    </w:p>
    <w:p>
      <w:pPr>
        <w:pStyle w:val="ListParagraph"/>
        <w:numPr>
          <w:ilvl w:val="0"/>
          <w:numId w:val="2"/>
        </w:numPr>
        <w:spacing w:after="80"/>
      </w:pPr>
      <w:r>
        <w:rPr>
          <w:b/>
          <w:bCs/>
          <w:sz w:val="22"/>
          <w:szCs w:val="22"/>
        </w:rPr>
        <w:t xml:space="preserve">Compliance kept — </w:t>
      </w:r>
      <w:r>
        <w:rPr>
          <w:sz w:val="22"/>
          <w:szCs w:val="22"/>
        </w:rPr>
        <w:t xml:space="preserve">All observability data remains in the customer's AWS account, satisfying the compliance requirement that blocked SaaS alternatives.</w:t>
      </w:r>
    </w:p>
    <w:p>
      <w:pPr>
        <w:pStyle w:val="Heading1"/>
        <w:spacing w:after="120" w:before="300"/>
      </w:pPr>
      <w:r>
        <w:rPr>
          <w:color w:val="1F3864"/>
        </w:rPr>
        <w:t xml:space="preserve">Deployment Validation (Trigent AI-BU, July 2026)</w:t>
      </w:r>
    </w:p>
    <w:p>
      <w:pPr>
        <w:spacing w:after="120"/>
      </w:pPr>
      <w:r>
        <w:rPr>
          <w:sz w:val="22"/>
          <w:szCs w:val="22"/>
        </w:rPr>
        <w:t xml:space="preserve">Unlike the illustrative customer figures above, the following results are real: they were produced by Trigent's own end-to-end validation on AWS (ap-south-1 and us-east-1), deployed from the exact Terraform in the product repository and, for AMI verification, from the built product AMI itself.</w:t>
      </w:r>
    </w:p>
    <w:p>
      <w:pPr>
        <w:pStyle w:val="ListParagraph"/>
        <w:numPr>
          <w:ilvl w:val="0"/>
          <w:numId w:val="2"/>
        </w:numPr>
        <w:spacing w:after="80"/>
      </w:pPr>
      <w:r>
        <w:rPr>
          <w:b/>
          <w:bCs/>
          <w:sz w:val="22"/>
          <w:szCs w:val="22"/>
        </w:rPr>
        <w:t xml:space="preserve">Provisioning — </w:t>
      </w:r>
      <w:r>
        <w:rPr>
          <w:sz w:val="22"/>
          <w:szCs w:val="22"/>
        </w:rPr>
        <w:t xml:space="preserve">One `terraform apply` to a live stack in ~8 minutes: EC2 + encrypted EBS + security group, with all credentials generated at first boot — nothing hardcoded.</w:t>
      </w:r>
    </w:p>
    <w:p>
      <w:pPr>
        <w:pStyle w:val="ListParagraph"/>
        <w:numPr>
          <w:ilvl w:val="0"/>
          <w:numId w:val="2"/>
        </w:numPr>
        <w:spacing w:after="80"/>
      </w:pPr>
      <w:r>
        <w:rPr>
          <w:b/>
          <w:bCs/>
          <w:sz w:val="22"/>
          <w:szCs w:val="22"/>
        </w:rPr>
        <w:t xml:space="preserve">Ingestion — </w:t>
      </w:r>
      <w:r>
        <w:rPr>
          <w:sz w:val="22"/>
          <w:szCs w:val="22"/>
        </w:rPr>
        <w:t xml:space="preserve">200 synthetic LLM traces (400 events) ingested across four models (GPT-4o, GPT-4o-mini, Claude Sonnet, Amazon Nova) via the Langfuse ingestion API — 100% acceptance, zero errors.</w:t>
      </w:r>
    </w:p>
    <w:p>
      <w:pPr>
        <w:pStyle w:val="ListParagraph"/>
        <w:numPr>
          <w:ilvl w:val="0"/>
          <w:numId w:val="2"/>
        </w:numPr>
        <w:spacing w:after="80"/>
      </w:pPr>
      <w:r>
        <w:rPr>
          <w:b/>
          <w:bCs/>
          <w:sz w:val="22"/>
          <w:szCs w:val="22"/>
        </w:rPr>
        <w:t xml:space="preserve">Automated evals — </w:t>
      </w:r>
      <w:r>
        <w:rPr>
          <w:sz w:val="22"/>
          <w:szCs w:val="22"/>
        </w:rPr>
        <w:t xml:space="preserve">800 evaluation scores attached automatically with no human action — all 4 checks on all 200 traces (100% coverage, verified after the worker was updated to paginate the full trace list each cycle): 53 refusals detected, 59 latency-SLO breaches flagged, 6 per-trace cost-budget breaches caught, 53 empty outputs identified.</w:t>
      </w:r>
    </w:p>
    <w:p>
      <w:pPr>
        <w:pStyle w:val="ListParagraph"/>
        <w:numPr>
          <w:ilvl w:val="0"/>
          <w:numId w:val="2"/>
        </w:numPr>
        <w:spacing w:after="80"/>
      </w:pPr>
      <w:r>
        <w:rPr>
          <w:b/>
          <w:bCs/>
          <w:sz w:val="22"/>
          <w:szCs w:val="22"/>
        </w:rPr>
        <w:t xml:space="preserve">AMI verification — </w:t>
      </w:r>
      <w:r>
        <w:rPr>
          <w:sz w:val="22"/>
          <w:szCs w:val="22"/>
        </w:rPr>
        <w:t xml:space="preserve">a test instance launched from the built AMI (ami-082e9452f2aff9f99) reached a fully running stack in 94 seconds, with all credentials generated fresh at first boot and the first-boot service completing cleanly (systemd status 0/SUCCESS).</w:t>
      </w:r>
    </w:p>
    <w:p>
      <w:pPr>
        <w:pStyle w:val="ListParagraph"/>
        <w:numPr>
          <w:ilvl w:val="0"/>
          <w:numId w:val="2"/>
        </w:numPr>
        <w:spacing w:after="80"/>
      </w:pPr>
      <w:r>
        <w:rPr>
          <w:b/>
          <w:bCs/>
          <w:sz w:val="22"/>
          <w:szCs w:val="22"/>
        </w:rPr>
        <w:t xml:space="preserve">Cost visibility — </w:t>
      </w:r>
      <w:r>
        <w:rPr>
          <w:sz w:val="22"/>
          <w:szCs w:val="22"/>
        </w:rPr>
        <w:t xml:space="preserve">$3.34 of LLM spend attributed per model on the pre-built Grafana dashboard (claude-sonnet $1.76, gpt-4o $1.14, nova-pro $0.37, gpt-4o-mini $0.07) — 921K tokens, spend over time, p95 latency and a ranked most-expensive-traces table, live within a minute of ingestion.</w:t>
      </w:r>
    </w:p>
    <w:p>
      <w:pPr>
        <w:spacing w:after="120"/>
      </w:pPr>
      <w:r>
        <w:rPr>
          <w:sz w:val="22"/>
          <w:szCs w:val="22"/>
        </w:rPr>
        <w:t xml:space="preserve">[Insert screenshot: Langfuse project home — traces, model costs, scores]</w:t>
      </w:r>
    </w:p>
    <w:p>
      <w:pPr>
        <w:spacing w:after="120"/>
      </w:pPr>
      <w:r>
        <w:rPr>
          <w:sz w:val="22"/>
          <w:szCs w:val="22"/>
        </w:rPr>
        <w:t xml:space="preserve">[Insert screenshot: Langfuse trace detail with attached eval scores]</w:t>
      </w:r>
    </w:p>
    <w:p>
      <w:pPr>
        <w:spacing w:after="120"/>
      </w:pPr>
      <w:r>
        <w:rPr>
          <w:sz w:val="22"/>
          <w:szCs w:val="22"/>
        </w:rPr>
        <w:t xml:space="preserve">[Insert screenshot: Grafana LLM Cost &amp; Usage dashboard]</w:t>
      </w:r>
    </w:p>
    <w:p>
      <w:pPr>
        <w:pStyle w:val="Heading1"/>
        <w:spacing w:after="120" w:before="300"/>
      </w:pPr>
      <w:r>
        <w:rPr>
          <w:color w:val="1F3864"/>
        </w:rPr>
        <w:t xml:space="preserve">Why Trigent</w:t>
      </w:r>
    </w:p>
    <w:p>
      <w:pPr>
        <w:spacing w:after="120"/>
      </w:pPr>
      <w:r>
        <w:rPr>
          <w:sz w:val="22"/>
          <w:szCs w:val="22"/>
        </w:rPr>
        <w:t xml:space="preserve">Trigent's AI Business Unit builds and operates production GenAI systems — agents, voice, RAG, and the operational tooling around them. The AI Observability Stack encodes that delivery experience into an opinionated, supported product: the integration work is done, the defaults are sensible, and Trigent services extend it into each customer's environment. It is one of a focused set of Priority-1 Trigent listings that make AWS Marketplace the first place prospects can find, try, and validate Trigent capability.</w:t>
      </w:r>
    </w:p>
    <w:p>
      <w:pPr>
        <w:spacing w:before="240"/>
      </w:pPr>
      <w:r>
        <w:rPr>
          <w:i/>
          <w:iCs/>
          <w:color w:val="595959"/>
          <w:sz w:val="20"/>
          <w:szCs w:val="20"/>
        </w:rPr>
        <w:t xml:space="preserve">Contact: [AI-BU contact name] · [email] · trigent.com  |  AWS Marketplace: [listing URL]</w:t>
      </w:r>
    </w:p>
    <w:sectPr>
      <w:pgSz w:w="11906" w:h="16838"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05ed81a88d943ca8b8e60a51da7ef1ae47d60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2026-07-17T09:36:42.372Z</dcterms:created>
  <dcterms:modified xsi:type="dcterms:W3CDTF">2026-07-17T09:36:42.385Z</dcterms:modified>
</cp:coreProperties>
</file>

<file path=docProps/custom.xml><?xml version="1.0" encoding="utf-8"?>
<Properties xmlns="http://schemas.openxmlformats.org/officeDocument/2006/custom-properties" xmlns:vt="http://schemas.openxmlformats.org/officeDocument/2006/docPropsVTypes"/>
</file>