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D03FE6" w:rsidP="00C6554A">
      <w:pPr>
        <w:pStyle w:val="Photo"/>
      </w:pPr>
      <w:bookmarkStart w:id="0" w:name="_Toc321147149"/>
      <w:bookmarkStart w:id="1" w:name="_Toc318188227"/>
      <w:bookmarkStart w:id="2" w:name="_Toc318188327"/>
      <w:bookmarkStart w:id="3" w:name="_Toc318189312"/>
      <w:bookmarkStart w:id="4" w:name="_Toc321147011"/>
      <w:r>
        <w:rPr>
          <w:noProof/>
          <w:lang w:val="en-IN" w:eastAsia="en-IN"/>
        </w:rPr>
        <w:drawing>
          <wp:inline distT="0" distB="0" distL="0" distR="0">
            <wp:extent cx="3278234" cy="4355123"/>
            <wp:effectExtent l="152400" t="152400" r="360680" b="3695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jfif"/>
                    <pic:cNvPicPr/>
                  </pic:nvPicPr>
                  <pic:blipFill>
                    <a:blip r:embed="rId7">
                      <a:extLst>
                        <a:ext uri="{28A0092B-C50C-407E-A947-70E740481C1C}">
                          <a14:useLocalDpi xmlns:a14="http://schemas.microsoft.com/office/drawing/2010/main" val="0"/>
                        </a:ext>
                      </a:extLst>
                    </a:blip>
                    <a:stretch>
                      <a:fillRect/>
                    </a:stretch>
                  </pic:blipFill>
                  <pic:spPr>
                    <a:xfrm>
                      <a:off x="0" y="0"/>
                      <a:ext cx="3301721" cy="4386325"/>
                    </a:xfrm>
                    <a:prstGeom prst="rect">
                      <a:avLst/>
                    </a:prstGeom>
                    <a:ln>
                      <a:noFill/>
                    </a:ln>
                    <a:effectLst>
                      <a:outerShdw blurRad="292100" dist="139700" dir="2700000" algn="tl" rotWithShape="0">
                        <a:srgbClr val="333333">
                          <a:alpha val="65000"/>
                        </a:srgbClr>
                      </a:outerShdw>
                    </a:effectLst>
                  </pic:spPr>
                </pic:pic>
              </a:graphicData>
            </a:graphic>
          </wp:inline>
        </w:drawing>
      </w:r>
    </w:p>
    <w:bookmarkEnd w:id="0"/>
    <w:bookmarkEnd w:id="1"/>
    <w:bookmarkEnd w:id="2"/>
    <w:bookmarkEnd w:id="3"/>
    <w:bookmarkEnd w:id="4"/>
    <w:p w:rsidR="00A31954" w:rsidRPr="00A31954" w:rsidRDefault="00A31954" w:rsidP="00A31954">
      <w:pPr>
        <w:pStyle w:val="Heading1"/>
        <w:jc w:val="center"/>
        <w:rPr>
          <w:rFonts w:ascii="Times New Roman" w:hAnsi="Times New Roman" w:cs="Times New Roman"/>
          <w:b/>
          <w:sz w:val="44"/>
        </w:rPr>
      </w:pPr>
      <w:r w:rsidRPr="00D03FE6">
        <w:rPr>
          <w:rFonts w:ascii="Times New Roman" w:hAnsi="Times New Roman" w:cs="Times New Roman"/>
          <w:b/>
          <w:sz w:val="44"/>
        </w:rPr>
        <w:t>NASDAQ–Facebook IPO Set</w:t>
      </w:r>
      <w:r w:rsidR="00D03FE6">
        <w:rPr>
          <w:rFonts w:ascii="Times New Roman" w:hAnsi="Times New Roman" w:cs="Times New Roman"/>
          <w:b/>
          <w:sz w:val="44"/>
        </w:rPr>
        <w:t xml:space="preserve">tlement </w:t>
      </w:r>
      <w:r w:rsidRPr="00D03FE6">
        <w:rPr>
          <w:rFonts w:ascii="Times New Roman" w:hAnsi="Times New Roman" w:cs="Times New Roman"/>
          <w:b/>
          <w:sz w:val="44"/>
        </w:rPr>
        <w:t>Failure Case Study (2012)</w:t>
      </w:r>
    </w:p>
    <w:p w:rsidR="00C6554A" w:rsidRPr="00A31954" w:rsidRDefault="00C6554A" w:rsidP="00C6554A">
      <w:pPr>
        <w:pStyle w:val="Subtitle"/>
        <w:rPr>
          <w:color w:val="000000" w:themeColor="text1"/>
        </w:rPr>
      </w:pPr>
    </w:p>
    <w:p w:rsidR="00A31954" w:rsidRDefault="00A31954" w:rsidP="00A31954">
      <w:pPr>
        <w:pStyle w:val="ContactInfo"/>
        <w:spacing w:line="360" w:lineRule="auto"/>
        <w:jc w:val="left"/>
      </w:pPr>
      <w:r w:rsidRPr="00A31954">
        <w:rPr>
          <w:rFonts w:ascii="Times New Roman" w:hAnsi="Times New Roman" w:cs="Times New Roman"/>
          <w:color w:val="000000" w:themeColor="text1"/>
          <w:sz w:val="24"/>
        </w:rPr>
        <w:t>Prepared by</w:t>
      </w:r>
      <w:r w:rsidR="00D03FE6">
        <w:rPr>
          <w:rFonts w:ascii="Times New Roman" w:hAnsi="Times New Roman" w:cs="Times New Roman"/>
          <w:color w:val="000000" w:themeColor="text1"/>
          <w:sz w:val="24"/>
        </w:rPr>
        <w:t xml:space="preserve">  : </w:t>
      </w:r>
      <w:r w:rsidRPr="00D03FE6">
        <w:rPr>
          <w:rFonts w:ascii="Times New Roman" w:hAnsi="Times New Roman" w:cs="Times New Roman"/>
          <w:b/>
          <w:color w:val="000000" w:themeColor="text1"/>
          <w:sz w:val="24"/>
        </w:rPr>
        <w:t>Anmol Shrivastava</w:t>
      </w:r>
      <w:r w:rsidR="00C6554A" w:rsidRPr="00A31954">
        <w:rPr>
          <w:color w:val="000000" w:themeColor="text1"/>
          <w:sz w:val="24"/>
        </w:rPr>
        <w:t xml:space="preserve"> </w:t>
      </w:r>
      <w:r w:rsidR="00C6554A">
        <w:t xml:space="preserve"> </w:t>
      </w:r>
    </w:p>
    <w:p w:rsidR="00A31954" w:rsidRDefault="00A31954" w:rsidP="00A31954">
      <w:pPr>
        <w:pStyle w:val="ContactInfo"/>
        <w:spacing w:line="360" w:lineRule="auto"/>
        <w:jc w:val="left"/>
        <w:rPr>
          <w:rFonts w:ascii="Times New Roman" w:eastAsia="Times New Roman" w:hAnsi="Times New Roman" w:cs="Times New Roman"/>
          <w:color w:val="000000" w:themeColor="text1"/>
          <w:sz w:val="24"/>
          <w:szCs w:val="24"/>
          <w:lang w:val="en-IN" w:eastAsia="en-IN"/>
        </w:rPr>
      </w:pPr>
      <w:r w:rsidRPr="00A31954">
        <w:rPr>
          <w:color w:val="000000" w:themeColor="text1"/>
        </w:rPr>
        <w:t>Tools used</w:t>
      </w:r>
      <w:r w:rsidR="00D03FE6">
        <w:rPr>
          <w:color w:val="000000" w:themeColor="text1"/>
        </w:rPr>
        <w:t xml:space="preserve"> </w:t>
      </w:r>
      <w:r w:rsidRPr="00A31954">
        <w:rPr>
          <w:color w:val="000000" w:themeColor="text1"/>
        </w:rPr>
        <w:t xml:space="preserve"> </w:t>
      </w:r>
      <w:r w:rsidR="00D03FE6">
        <w:rPr>
          <w:color w:val="000000" w:themeColor="text1"/>
        </w:rPr>
        <w:t xml:space="preserve">  :  </w:t>
      </w:r>
      <w:r w:rsidRPr="00A31954">
        <w:rPr>
          <w:rFonts w:ascii="Times New Roman" w:eastAsia="Times New Roman" w:hAnsi="Times New Roman" w:cs="Times New Roman"/>
          <w:b/>
          <w:color w:val="auto"/>
          <w:sz w:val="24"/>
          <w:szCs w:val="24"/>
          <w:lang w:val="en-IN" w:eastAsia="en-IN"/>
        </w:rPr>
        <w:t>Microsoft Excel</w:t>
      </w:r>
      <w:r w:rsidRPr="00A31954">
        <w:rPr>
          <w:rFonts w:ascii="Times New Roman" w:eastAsia="Times New Roman" w:hAnsi="Times New Roman" w:cs="Times New Roman"/>
          <w:color w:val="auto"/>
          <w:sz w:val="24"/>
          <w:szCs w:val="24"/>
          <w:lang w:val="en-IN" w:eastAsia="en-IN"/>
        </w:rPr>
        <w:t xml:space="preserve"> (Power Query, PivotTables, Data Model, Charts</w:t>
      </w:r>
      <w:r w:rsidR="00D03FE6">
        <w:rPr>
          <w:rFonts w:ascii="Times New Roman" w:eastAsia="Times New Roman" w:hAnsi="Times New Roman" w:cs="Times New Roman"/>
          <w:color w:val="auto"/>
          <w:sz w:val="24"/>
          <w:szCs w:val="24"/>
          <w:lang w:val="en-IN" w:eastAsia="en-IN"/>
        </w:rPr>
        <w:t xml:space="preserve">),        </w:t>
      </w:r>
      <w:r w:rsidR="00D03FE6">
        <w:rPr>
          <w:rFonts w:ascii="Times New Roman" w:eastAsia="Times New Roman" w:hAnsi="Times New Roman" w:cs="Times New Roman"/>
          <w:color w:val="FFFFFF" w:themeColor="background1"/>
          <w:sz w:val="24"/>
          <w:szCs w:val="24"/>
          <w:lang w:val="en-IN" w:eastAsia="en-IN"/>
        </w:rPr>
        <w:t xml:space="preserve">cccccccccc      </w:t>
      </w:r>
      <w:r w:rsidRPr="00D03FE6">
        <w:rPr>
          <w:rFonts w:ascii="Times New Roman" w:eastAsia="Times New Roman" w:hAnsi="Times New Roman" w:cs="Times New Roman"/>
          <w:b/>
          <w:color w:val="auto"/>
          <w:sz w:val="24"/>
          <w:szCs w:val="24"/>
          <w:lang w:val="en-IN" w:eastAsia="en-IN"/>
        </w:rPr>
        <w:t>PowerPoint</w:t>
      </w:r>
      <w:r>
        <w:rPr>
          <w:rFonts w:ascii="Times New Roman" w:eastAsia="Times New Roman" w:hAnsi="Times New Roman" w:cs="Times New Roman"/>
          <w:color w:val="auto"/>
          <w:sz w:val="24"/>
          <w:szCs w:val="24"/>
          <w:lang w:val="en-IN" w:eastAsia="en-IN"/>
        </w:rPr>
        <w:t xml:space="preserve"> (for final deck</w:t>
      </w:r>
      <w:r w:rsidRPr="00A31954">
        <w:rPr>
          <w:rFonts w:ascii="Times New Roman" w:eastAsia="Times New Roman" w:hAnsi="Times New Roman" w:cs="Times New Roman"/>
          <w:color w:val="000000" w:themeColor="text1"/>
          <w:sz w:val="24"/>
          <w:szCs w:val="24"/>
          <w:lang w:val="en-IN" w:eastAsia="en-IN"/>
        </w:rPr>
        <w:t>)</w:t>
      </w:r>
    </w:p>
    <w:p w:rsidR="00C6554A" w:rsidRDefault="00D03FE6" w:rsidP="00A31954">
      <w:pPr>
        <w:pStyle w:val="ContactInfo"/>
        <w:spacing w:line="360" w:lineRule="auto"/>
        <w:jc w:val="left"/>
      </w:pPr>
      <w:r>
        <w:rPr>
          <w:rFonts w:ascii="Times New Roman" w:eastAsia="Times New Roman" w:hAnsi="Times New Roman" w:cs="Times New Roman"/>
          <w:color w:val="000000" w:themeColor="text1"/>
          <w:sz w:val="24"/>
          <w:szCs w:val="24"/>
          <w:lang w:val="en-IN" w:eastAsia="en-IN"/>
        </w:rPr>
        <w:t xml:space="preserve">Date </w:t>
      </w:r>
      <w:r w:rsidR="00A31954">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 xml:space="preserve">           :  </w:t>
      </w:r>
      <w:r w:rsidR="00A31954" w:rsidRPr="00D03FE6">
        <w:rPr>
          <w:rFonts w:ascii="Times New Roman" w:hAnsi="Times New Roman" w:cs="Times New Roman"/>
          <w:b/>
          <w:color w:val="000000" w:themeColor="text1"/>
          <w:sz w:val="24"/>
          <w:szCs w:val="24"/>
        </w:rPr>
        <w:t>Aug 2025</w:t>
      </w:r>
      <w:r w:rsidR="00C6554A">
        <w:br w:type="page"/>
      </w:r>
    </w:p>
    <w:p w:rsidR="00C6554A" w:rsidRPr="008C5A55" w:rsidRDefault="00D03FE6" w:rsidP="001E0593">
      <w:pPr>
        <w:pStyle w:val="Heading2"/>
        <w:ind w:left="-284"/>
        <w:rPr>
          <w:b/>
          <w:sz w:val="32"/>
          <w:u w:val="single"/>
        </w:rPr>
      </w:pPr>
      <w:r w:rsidRPr="008C5A55">
        <w:rPr>
          <w:b/>
          <w:sz w:val="32"/>
          <w:u w:val="single"/>
        </w:rPr>
        <w:lastRenderedPageBreak/>
        <w:t>Abstract</w:t>
      </w:r>
    </w:p>
    <w:p w:rsidR="00D03FE6" w:rsidRDefault="00D03FE6" w:rsidP="00F14C80">
      <w:pPr>
        <w:pStyle w:val="NormalWeb"/>
        <w:spacing w:line="360" w:lineRule="auto"/>
        <w:ind w:left="-284" w:right="-291"/>
        <w:jc w:val="both"/>
      </w:pPr>
      <w:r>
        <w:t>This report analyses the real</w:t>
      </w:r>
      <w:r>
        <w:noBreakHyphen/>
        <w:t>world post</w:t>
      </w:r>
      <w:r>
        <w:noBreakHyphen/>
        <w:t xml:space="preserve">event settlement and remediation surrounding the Facebook (FB) IPO on May 18, 2012, focusing on the </w:t>
      </w:r>
      <w:r w:rsidR="001E0593">
        <w:rPr>
          <w:rStyle w:val="Strong"/>
        </w:rPr>
        <w:t>2012</w:t>
      </w:r>
      <w:r>
        <w:rPr>
          <w:rStyle w:val="Strong"/>
        </w:rPr>
        <w:t xml:space="preserve"> regulatory penalty and the compensation program</w:t>
      </w:r>
      <w:r>
        <w:t xml:space="preserve"> authorized to address market participants’ losses. It is designed as an analyst</w:t>
      </w:r>
      <w:r>
        <w:noBreakHyphen/>
        <w:t xml:space="preserve">grade deliverable with </w:t>
      </w:r>
      <w:r>
        <w:rPr>
          <w:rStyle w:val="Strong"/>
        </w:rPr>
        <w:t>Excel</w:t>
      </w:r>
      <w:r>
        <w:rPr>
          <w:rStyle w:val="Strong"/>
        </w:rPr>
        <w:noBreakHyphen/>
        <w:t>ready exhibits</w:t>
      </w:r>
      <w:r>
        <w:t xml:space="preserve"> and </w:t>
      </w:r>
      <w:r>
        <w:rPr>
          <w:rStyle w:val="Strong"/>
        </w:rPr>
        <w:t>placeholders</w:t>
      </w:r>
      <w:r w:rsidR="001E0593">
        <w:t xml:space="preserve"> for data to be </w:t>
      </w:r>
      <w:r>
        <w:t>populate</w:t>
      </w:r>
      <w:r w:rsidR="001E0593">
        <w:t>d</w:t>
      </w:r>
      <w:r>
        <w:t xml:space="preserve"> later. The study covers the event timeline, market microstructure failures, the scope of trading/settlement disruptions, compensation mechanics (eligibility, tranches, caps), and the impact on key stakeholders (brokers, exchanges, investors). The objective is to demonstrate analytical rigor, reproducible methodology in Excel, and actionable recommendations for risk controls.</w:t>
      </w:r>
    </w:p>
    <w:p w:rsidR="001E0593" w:rsidRDefault="001E0593" w:rsidP="001E0593">
      <w:pPr>
        <w:pStyle w:val="ListBullet"/>
        <w:numPr>
          <w:ilvl w:val="0"/>
          <w:numId w:val="0"/>
        </w:numPr>
        <w:ind w:left="720" w:hanging="360"/>
      </w:pPr>
    </w:p>
    <w:p w:rsidR="001E0593" w:rsidRDefault="001E0593" w:rsidP="001E0593">
      <w:pPr>
        <w:pStyle w:val="ListBullet"/>
        <w:numPr>
          <w:ilvl w:val="0"/>
          <w:numId w:val="0"/>
        </w:numPr>
        <w:ind w:left="720" w:hanging="360"/>
      </w:pPr>
    </w:p>
    <w:p w:rsidR="001E0593" w:rsidRDefault="001E0593" w:rsidP="001E0593">
      <w:pPr>
        <w:pStyle w:val="ListBullet"/>
        <w:numPr>
          <w:ilvl w:val="0"/>
          <w:numId w:val="0"/>
        </w:numPr>
        <w:ind w:left="720" w:hanging="360"/>
      </w:pPr>
    </w:p>
    <w:p w:rsidR="001E0593" w:rsidRDefault="001E0593" w:rsidP="001E0593">
      <w:pPr>
        <w:pStyle w:val="ListBullet"/>
        <w:numPr>
          <w:ilvl w:val="0"/>
          <w:numId w:val="0"/>
        </w:numPr>
        <w:ind w:left="720" w:hanging="360"/>
      </w:pPr>
    </w:p>
    <w:p w:rsidR="001E0593" w:rsidRDefault="001E0593" w:rsidP="001E0593">
      <w:pPr>
        <w:pStyle w:val="ListBullet"/>
        <w:numPr>
          <w:ilvl w:val="0"/>
          <w:numId w:val="0"/>
        </w:numPr>
        <w:ind w:left="720" w:hanging="360"/>
      </w:pPr>
    </w:p>
    <w:p w:rsidR="001E0593" w:rsidRDefault="001E0593" w:rsidP="001E0593">
      <w:pPr>
        <w:pStyle w:val="ListBullet"/>
        <w:numPr>
          <w:ilvl w:val="0"/>
          <w:numId w:val="0"/>
        </w:numPr>
        <w:ind w:left="720" w:hanging="360"/>
      </w:pPr>
    </w:p>
    <w:p w:rsidR="001E0593" w:rsidRDefault="001E0593" w:rsidP="001E0593">
      <w:pPr>
        <w:pStyle w:val="ListBullet"/>
        <w:numPr>
          <w:ilvl w:val="0"/>
          <w:numId w:val="0"/>
        </w:numPr>
        <w:ind w:left="720" w:hanging="360"/>
      </w:pPr>
    </w:p>
    <w:p w:rsidR="001E0593" w:rsidRDefault="001E0593" w:rsidP="001E0593">
      <w:pPr>
        <w:pStyle w:val="ListBullet"/>
        <w:numPr>
          <w:ilvl w:val="0"/>
          <w:numId w:val="0"/>
        </w:numPr>
        <w:ind w:left="720" w:hanging="360"/>
      </w:pPr>
    </w:p>
    <w:p w:rsidR="001E0593" w:rsidRDefault="001E0593" w:rsidP="001E0593">
      <w:pPr>
        <w:pStyle w:val="ListBullet"/>
        <w:numPr>
          <w:ilvl w:val="0"/>
          <w:numId w:val="0"/>
        </w:numPr>
        <w:ind w:left="720" w:hanging="360"/>
      </w:pPr>
    </w:p>
    <w:p w:rsidR="001E0593" w:rsidRDefault="001E0593" w:rsidP="001E0593">
      <w:pPr>
        <w:pStyle w:val="ListBullet"/>
        <w:numPr>
          <w:ilvl w:val="0"/>
          <w:numId w:val="0"/>
        </w:numPr>
        <w:ind w:left="720" w:hanging="360"/>
      </w:pPr>
    </w:p>
    <w:p w:rsidR="001E0593" w:rsidRDefault="001E0593" w:rsidP="001E0593">
      <w:pPr>
        <w:pStyle w:val="ListBullet"/>
        <w:numPr>
          <w:ilvl w:val="0"/>
          <w:numId w:val="0"/>
        </w:numPr>
        <w:ind w:left="720" w:hanging="360"/>
      </w:pPr>
    </w:p>
    <w:p w:rsidR="001E0593" w:rsidRDefault="001E0593" w:rsidP="001E0593">
      <w:pPr>
        <w:pStyle w:val="ListBullet"/>
        <w:numPr>
          <w:ilvl w:val="0"/>
          <w:numId w:val="0"/>
        </w:numPr>
        <w:ind w:left="720" w:hanging="360"/>
      </w:pPr>
    </w:p>
    <w:p w:rsidR="001E0593" w:rsidRDefault="001E0593" w:rsidP="001E0593">
      <w:pPr>
        <w:pStyle w:val="ListBullet"/>
        <w:numPr>
          <w:ilvl w:val="0"/>
          <w:numId w:val="0"/>
        </w:numPr>
        <w:ind w:left="720" w:hanging="360"/>
      </w:pPr>
    </w:p>
    <w:p w:rsidR="001E0593" w:rsidRDefault="001E0593" w:rsidP="001E0593">
      <w:pPr>
        <w:pStyle w:val="ListBullet"/>
        <w:numPr>
          <w:ilvl w:val="0"/>
          <w:numId w:val="0"/>
        </w:numPr>
        <w:ind w:left="720" w:hanging="360"/>
      </w:pPr>
    </w:p>
    <w:p w:rsidR="001E0593" w:rsidRPr="00514122" w:rsidRDefault="001E0593" w:rsidP="001E0593">
      <w:pPr>
        <w:pStyle w:val="ListBullet"/>
        <w:numPr>
          <w:ilvl w:val="0"/>
          <w:numId w:val="0"/>
        </w:numPr>
        <w:ind w:left="720" w:hanging="360"/>
      </w:pPr>
    </w:p>
    <w:p w:rsidR="00B663A3" w:rsidRPr="008C5A55" w:rsidRDefault="00B663A3" w:rsidP="00B663A3">
      <w:pPr>
        <w:pStyle w:val="Heading2"/>
        <w:ind w:left="-567" w:firstLine="284"/>
        <w:jc w:val="both"/>
        <w:rPr>
          <w:b/>
          <w:sz w:val="32"/>
          <w:u w:val="single"/>
        </w:rPr>
      </w:pPr>
      <w:r w:rsidRPr="008C5A55">
        <w:rPr>
          <w:b/>
          <w:sz w:val="32"/>
          <w:u w:val="single"/>
        </w:rPr>
        <w:lastRenderedPageBreak/>
        <w:t>EXECUTIVE SUMMARY</w:t>
      </w:r>
    </w:p>
    <w:p w:rsidR="001E0593" w:rsidRPr="001E0593" w:rsidRDefault="001E0593" w:rsidP="00B663A3">
      <w:pPr>
        <w:spacing w:before="100" w:beforeAutospacing="1" w:after="100" w:afterAutospacing="1" w:line="360" w:lineRule="auto"/>
        <w:ind w:left="-284" w:right="-291"/>
        <w:jc w:val="both"/>
        <w:rPr>
          <w:rFonts w:ascii="Times New Roman" w:eastAsia="Times New Roman" w:hAnsi="Times New Roman" w:cs="Times New Roman"/>
          <w:color w:val="auto"/>
          <w:sz w:val="24"/>
          <w:szCs w:val="24"/>
          <w:lang w:val="en-IN" w:eastAsia="en-IN"/>
        </w:rPr>
      </w:pPr>
      <w:r w:rsidRPr="001E0593">
        <w:rPr>
          <w:rFonts w:ascii="Times New Roman" w:eastAsia="Times New Roman" w:hAnsi="Times New Roman" w:cs="Times New Roman"/>
          <w:b/>
          <w:bCs/>
          <w:color w:val="auto"/>
          <w:sz w:val="24"/>
          <w:szCs w:val="24"/>
          <w:lang w:val="en-IN" w:eastAsia="en-IN"/>
        </w:rPr>
        <w:t>What happened:</w:t>
      </w:r>
      <w:r w:rsidRPr="001E0593">
        <w:rPr>
          <w:rFonts w:ascii="Times New Roman" w:eastAsia="Times New Roman" w:hAnsi="Times New Roman" w:cs="Times New Roman"/>
          <w:color w:val="auto"/>
          <w:sz w:val="24"/>
          <w:szCs w:val="24"/>
          <w:lang w:val="en-IN" w:eastAsia="en-IN"/>
        </w:rPr>
        <w:t xml:space="preserve"> On the day of Facebook’s IPO, NASDAQ’s IPO Cross and related systems experienced outages and reconciliation defects that delayed order acknowledgments and caused </w:t>
      </w:r>
      <w:r w:rsidRPr="001E0593">
        <w:rPr>
          <w:rFonts w:ascii="Times New Roman" w:eastAsia="Times New Roman" w:hAnsi="Times New Roman" w:cs="Times New Roman"/>
          <w:b/>
          <w:bCs/>
          <w:color w:val="auto"/>
          <w:sz w:val="24"/>
          <w:szCs w:val="24"/>
          <w:lang w:val="en-IN" w:eastAsia="en-IN"/>
        </w:rPr>
        <w:t>mis</w:t>
      </w:r>
      <w:r w:rsidRPr="001E0593">
        <w:rPr>
          <w:rFonts w:ascii="Times New Roman" w:eastAsia="Times New Roman" w:hAnsi="Times New Roman" w:cs="Times New Roman"/>
          <w:b/>
          <w:bCs/>
          <w:color w:val="auto"/>
          <w:sz w:val="24"/>
          <w:szCs w:val="24"/>
          <w:lang w:val="en-IN" w:eastAsia="en-IN"/>
        </w:rPr>
        <w:noBreakHyphen/>
        <w:t>sequencing and “stuck” orders</w:t>
      </w:r>
      <w:r w:rsidRPr="001E0593">
        <w:rPr>
          <w:rFonts w:ascii="Times New Roman" w:eastAsia="Times New Roman" w:hAnsi="Times New Roman" w:cs="Times New Roman"/>
          <w:color w:val="auto"/>
          <w:sz w:val="24"/>
          <w:szCs w:val="24"/>
          <w:lang w:val="en-IN" w:eastAsia="en-IN"/>
        </w:rPr>
        <w:t xml:space="preserve">. The failures propagated into trade reporting, routing, and downstream </w:t>
      </w:r>
      <w:r w:rsidRPr="001E0593">
        <w:rPr>
          <w:rFonts w:ascii="Times New Roman" w:eastAsia="Times New Roman" w:hAnsi="Times New Roman" w:cs="Times New Roman"/>
          <w:b/>
          <w:bCs/>
          <w:color w:val="auto"/>
          <w:sz w:val="24"/>
          <w:szCs w:val="24"/>
          <w:lang w:val="en-IN" w:eastAsia="en-IN"/>
        </w:rPr>
        <w:t>clearing/settlement mismatches</w:t>
      </w:r>
      <w:r w:rsidRPr="001E0593">
        <w:rPr>
          <w:rFonts w:ascii="Times New Roman" w:eastAsia="Times New Roman" w:hAnsi="Times New Roman" w:cs="Times New Roman"/>
          <w:color w:val="auto"/>
          <w:sz w:val="24"/>
          <w:szCs w:val="24"/>
          <w:lang w:val="en-IN" w:eastAsia="en-IN"/>
        </w:rPr>
        <w:t>.</w:t>
      </w:r>
    </w:p>
    <w:p w:rsidR="001E0593" w:rsidRPr="001E0593" w:rsidRDefault="001E0593" w:rsidP="00B663A3">
      <w:pPr>
        <w:spacing w:before="100" w:beforeAutospacing="1" w:after="100" w:afterAutospacing="1" w:line="360" w:lineRule="auto"/>
        <w:ind w:left="-284" w:right="-291"/>
        <w:jc w:val="both"/>
        <w:rPr>
          <w:rFonts w:ascii="Times New Roman" w:eastAsia="Times New Roman" w:hAnsi="Times New Roman" w:cs="Times New Roman"/>
          <w:color w:val="auto"/>
          <w:sz w:val="24"/>
          <w:szCs w:val="24"/>
          <w:lang w:val="en-IN" w:eastAsia="en-IN"/>
        </w:rPr>
      </w:pPr>
      <w:r w:rsidRPr="001E0593">
        <w:rPr>
          <w:rFonts w:ascii="Times New Roman" w:eastAsia="Times New Roman" w:hAnsi="Times New Roman" w:cs="Times New Roman"/>
          <w:b/>
          <w:bCs/>
          <w:color w:val="auto"/>
          <w:sz w:val="24"/>
          <w:szCs w:val="24"/>
          <w:lang w:val="en-IN" w:eastAsia="en-IN"/>
        </w:rPr>
        <w:t>Why it matters:</w:t>
      </w:r>
      <w:r w:rsidR="001E47A4">
        <w:rPr>
          <w:rFonts w:ascii="Times New Roman" w:eastAsia="Times New Roman" w:hAnsi="Times New Roman" w:cs="Times New Roman"/>
          <w:color w:val="auto"/>
          <w:sz w:val="24"/>
          <w:szCs w:val="24"/>
          <w:lang w:val="en-IN" w:eastAsia="en-IN"/>
        </w:rPr>
        <w:t xml:space="preserve"> </w:t>
      </w:r>
      <w:r w:rsidRPr="001E0593">
        <w:rPr>
          <w:rFonts w:ascii="Times New Roman" w:eastAsia="Times New Roman" w:hAnsi="Times New Roman" w:cs="Times New Roman"/>
          <w:color w:val="auto"/>
          <w:sz w:val="24"/>
          <w:szCs w:val="24"/>
          <w:lang w:val="en-IN" w:eastAsia="en-IN"/>
        </w:rPr>
        <w:t xml:space="preserve">The event led to </w:t>
      </w:r>
      <w:r w:rsidRPr="001E0593">
        <w:rPr>
          <w:rFonts w:ascii="Times New Roman" w:eastAsia="Times New Roman" w:hAnsi="Times New Roman" w:cs="Times New Roman"/>
          <w:b/>
          <w:bCs/>
          <w:color w:val="auto"/>
          <w:sz w:val="24"/>
          <w:szCs w:val="24"/>
          <w:lang w:val="en-IN" w:eastAsia="en-IN"/>
        </w:rPr>
        <w:t>material losses</w:t>
      </w:r>
      <w:r w:rsidRPr="001E0593">
        <w:rPr>
          <w:rFonts w:ascii="Times New Roman" w:eastAsia="Times New Roman" w:hAnsi="Times New Roman" w:cs="Times New Roman"/>
          <w:color w:val="auto"/>
          <w:sz w:val="24"/>
          <w:szCs w:val="24"/>
          <w:lang w:val="en-IN" w:eastAsia="en-IN"/>
        </w:rPr>
        <w:t xml:space="preserve"> for market participants and </w:t>
      </w:r>
      <w:r w:rsidR="001E47A4">
        <w:rPr>
          <w:rFonts w:ascii="Times New Roman" w:eastAsia="Times New Roman" w:hAnsi="Times New Roman" w:cs="Times New Roman"/>
          <w:b/>
          <w:bCs/>
          <w:color w:val="auto"/>
          <w:sz w:val="24"/>
          <w:szCs w:val="24"/>
          <w:lang w:val="en-IN" w:eastAsia="en-IN"/>
        </w:rPr>
        <w:t>regulatory action in 2012</w:t>
      </w:r>
      <w:r w:rsidR="001E47A4">
        <w:rPr>
          <w:rFonts w:ascii="Times New Roman" w:eastAsia="Times New Roman" w:hAnsi="Times New Roman" w:cs="Times New Roman"/>
          <w:color w:val="auto"/>
          <w:sz w:val="24"/>
          <w:szCs w:val="24"/>
          <w:lang w:val="en-IN" w:eastAsia="en-IN"/>
        </w:rPr>
        <w:t xml:space="preserve">, </w:t>
      </w:r>
      <w:r w:rsidRPr="001E0593">
        <w:rPr>
          <w:rFonts w:ascii="Times New Roman" w:eastAsia="Times New Roman" w:hAnsi="Times New Roman" w:cs="Times New Roman"/>
          <w:color w:val="auto"/>
          <w:sz w:val="24"/>
          <w:szCs w:val="24"/>
          <w:lang w:val="en-IN" w:eastAsia="en-IN"/>
        </w:rPr>
        <w:t xml:space="preserve">including a monetary penalty on the exchange and a structured </w:t>
      </w:r>
      <w:r w:rsidRPr="001E0593">
        <w:rPr>
          <w:rFonts w:ascii="Times New Roman" w:eastAsia="Times New Roman" w:hAnsi="Times New Roman" w:cs="Times New Roman"/>
          <w:b/>
          <w:bCs/>
          <w:color w:val="auto"/>
          <w:sz w:val="24"/>
          <w:szCs w:val="24"/>
          <w:lang w:val="en-IN" w:eastAsia="en-IN"/>
        </w:rPr>
        <w:t>Member Accommodation Program</w:t>
      </w:r>
      <w:r w:rsidRPr="001E0593">
        <w:rPr>
          <w:rFonts w:ascii="Times New Roman" w:eastAsia="Times New Roman" w:hAnsi="Times New Roman" w:cs="Times New Roman"/>
          <w:color w:val="auto"/>
          <w:sz w:val="24"/>
          <w:szCs w:val="24"/>
          <w:lang w:val="en-IN" w:eastAsia="en-IN"/>
        </w:rPr>
        <w:t xml:space="preserve"> (compensation pool) to reimburse certain losses.</w:t>
      </w:r>
    </w:p>
    <w:p w:rsidR="001E0593" w:rsidRPr="001E0593" w:rsidRDefault="001E0593" w:rsidP="00B663A3">
      <w:pPr>
        <w:spacing w:before="100" w:beforeAutospacing="1" w:after="100" w:afterAutospacing="1" w:line="360" w:lineRule="auto"/>
        <w:ind w:left="-284" w:right="-291"/>
        <w:jc w:val="both"/>
        <w:rPr>
          <w:rFonts w:ascii="Times New Roman" w:eastAsia="Times New Roman" w:hAnsi="Times New Roman" w:cs="Times New Roman"/>
          <w:color w:val="auto"/>
          <w:sz w:val="24"/>
          <w:szCs w:val="24"/>
          <w:lang w:val="en-IN" w:eastAsia="en-IN"/>
        </w:rPr>
      </w:pPr>
      <w:r w:rsidRPr="001E0593">
        <w:rPr>
          <w:rFonts w:ascii="Times New Roman" w:eastAsia="Times New Roman" w:hAnsi="Times New Roman" w:cs="Times New Roman"/>
          <w:b/>
          <w:bCs/>
          <w:color w:val="auto"/>
          <w:sz w:val="24"/>
          <w:szCs w:val="24"/>
          <w:lang w:val="en-IN" w:eastAsia="en-IN"/>
        </w:rPr>
        <w:t>Our analyst angle:</w:t>
      </w:r>
      <w:r w:rsidR="00B663A3">
        <w:rPr>
          <w:rFonts w:ascii="Times New Roman" w:eastAsia="Times New Roman" w:hAnsi="Times New Roman" w:cs="Times New Roman"/>
          <w:color w:val="auto"/>
          <w:sz w:val="24"/>
          <w:szCs w:val="24"/>
          <w:lang w:val="en-IN" w:eastAsia="en-IN"/>
        </w:rPr>
        <w:t xml:space="preserve"> </w:t>
      </w:r>
      <w:r w:rsidRPr="001E0593">
        <w:rPr>
          <w:rFonts w:ascii="Times New Roman" w:eastAsia="Times New Roman" w:hAnsi="Times New Roman" w:cs="Times New Roman"/>
          <w:color w:val="auto"/>
          <w:sz w:val="24"/>
          <w:szCs w:val="24"/>
          <w:lang w:val="en-IN" w:eastAsia="en-IN"/>
        </w:rPr>
        <w:t>This report reconstructs the failure path, quantifies (with placeholders) economic impact by order type and time bucket, and reverse</w:t>
      </w:r>
      <w:r w:rsidRPr="001E0593">
        <w:rPr>
          <w:rFonts w:ascii="Times New Roman" w:eastAsia="Times New Roman" w:hAnsi="Times New Roman" w:cs="Times New Roman"/>
          <w:color w:val="auto"/>
          <w:sz w:val="24"/>
          <w:szCs w:val="24"/>
          <w:lang w:val="en-IN" w:eastAsia="en-IN"/>
        </w:rPr>
        <w:noBreakHyphen/>
        <w:t>engineers the compensation mechanics to test whether reimbursements matched realized losses under program rules.</w:t>
      </w:r>
    </w:p>
    <w:p w:rsidR="00B32B0D" w:rsidRDefault="001E0593" w:rsidP="00B32B0D">
      <w:pPr>
        <w:spacing w:before="100" w:beforeAutospacing="1" w:after="100" w:afterAutospacing="1" w:line="360" w:lineRule="auto"/>
        <w:ind w:left="-284"/>
        <w:jc w:val="both"/>
        <w:rPr>
          <w:rFonts w:ascii="Times New Roman" w:eastAsia="Times New Roman" w:hAnsi="Times New Roman" w:cs="Times New Roman"/>
          <w:color w:val="auto"/>
          <w:sz w:val="24"/>
          <w:szCs w:val="24"/>
          <w:lang w:val="en-IN" w:eastAsia="en-IN"/>
        </w:rPr>
      </w:pPr>
      <w:r w:rsidRPr="001E0593">
        <w:rPr>
          <w:rFonts w:ascii="Times New Roman" w:eastAsia="Times New Roman" w:hAnsi="Times New Roman" w:cs="Times New Roman"/>
          <w:b/>
          <w:bCs/>
          <w:color w:val="auto"/>
          <w:sz w:val="24"/>
          <w:szCs w:val="24"/>
          <w:lang w:val="en-IN" w:eastAsia="en-IN"/>
        </w:rPr>
        <w:t>Key outputs to show in Excel:</w:t>
      </w:r>
    </w:p>
    <w:p w:rsidR="00B32B0D" w:rsidRPr="00B32B0D" w:rsidRDefault="001E0593" w:rsidP="00B32B0D">
      <w:pPr>
        <w:pStyle w:val="ListParagraph"/>
        <w:numPr>
          <w:ilvl w:val="0"/>
          <w:numId w:val="19"/>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32B0D">
        <w:rPr>
          <w:rFonts w:ascii="Times New Roman" w:eastAsia="Times New Roman" w:hAnsi="Times New Roman" w:cs="Times New Roman"/>
          <w:color w:val="auto"/>
          <w:sz w:val="24"/>
          <w:szCs w:val="24"/>
          <w:lang w:val="en-IN" w:eastAsia="en-IN"/>
        </w:rPr>
        <w:t>Event</w:t>
      </w:r>
      <w:r w:rsidRPr="00B32B0D">
        <w:rPr>
          <w:rFonts w:ascii="Times New Roman" w:eastAsia="Times New Roman" w:hAnsi="Times New Roman" w:cs="Times New Roman"/>
          <w:color w:val="auto"/>
          <w:sz w:val="24"/>
          <w:szCs w:val="24"/>
          <w:lang w:val="en-IN" w:eastAsia="en-IN"/>
        </w:rPr>
        <w:noBreakHyphen/>
        <w:t xml:space="preserve">time price/volume maps (FB, NASDAQ Composite) and </w:t>
      </w:r>
      <w:r w:rsidRPr="00B32B0D">
        <w:rPr>
          <w:rFonts w:ascii="Times New Roman" w:eastAsia="Times New Roman" w:hAnsi="Times New Roman" w:cs="Times New Roman"/>
          <w:b/>
          <w:bCs/>
          <w:color w:val="auto"/>
          <w:sz w:val="24"/>
          <w:szCs w:val="24"/>
          <w:lang w:val="en-IN" w:eastAsia="en-IN"/>
        </w:rPr>
        <w:t>order flow heatmaps</w:t>
      </w:r>
      <w:r w:rsidRPr="00B32B0D">
        <w:rPr>
          <w:rFonts w:ascii="Times New Roman" w:eastAsia="Times New Roman" w:hAnsi="Times New Roman" w:cs="Times New Roman"/>
          <w:color w:val="auto"/>
          <w:sz w:val="24"/>
          <w:szCs w:val="24"/>
          <w:lang w:val="en-IN" w:eastAsia="en-IN"/>
        </w:rPr>
        <w:t>.</w:t>
      </w:r>
    </w:p>
    <w:p w:rsidR="00B32B0D" w:rsidRPr="00B32B0D" w:rsidRDefault="001E0593" w:rsidP="00B32B0D">
      <w:pPr>
        <w:pStyle w:val="ListParagraph"/>
        <w:numPr>
          <w:ilvl w:val="0"/>
          <w:numId w:val="19"/>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32B0D">
        <w:rPr>
          <w:rFonts w:ascii="Times New Roman" w:eastAsia="Times New Roman" w:hAnsi="Times New Roman" w:cs="Times New Roman"/>
          <w:b/>
          <w:bCs/>
          <w:color w:val="auto"/>
          <w:sz w:val="24"/>
          <w:szCs w:val="24"/>
          <w:lang w:val="en-IN" w:eastAsia="en-IN"/>
        </w:rPr>
        <w:t>Order lifecycle matrix</w:t>
      </w:r>
      <w:r w:rsidRPr="00B32B0D">
        <w:rPr>
          <w:rFonts w:ascii="Times New Roman" w:eastAsia="Times New Roman" w:hAnsi="Times New Roman" w:cs="Times New Roman"/>
          <w:color w:val="auto"/>
          <w:sz w:val="24"/>
          <w:szCs w:val="24"/>
          <w:lang w:val="en-IN" w:eastAsia="en-IN"/>
        </w:rPr>
        <w:t xml:space="preserve"> (submission → acknowledgment → execution → confirm → settlement) with error codes and latency percentiles.</w:t>
      </w:r>
    </w:p>
    <w:p w:rsidR="00B32B0D" w:rsidRPr="00B32B0D" w:rsidRDefault="001E0593" w:rsidP="00B32B0D">
      <w:pPr>
        <w:pStyle w:val="ListParagraph"/>
        <w:numPr>
          <w:ilvl w:val="0"/>
          <w:numId w:val="19"/>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32B0D">
        <w:rPr>
          <w:rFonts w:ascii="Times New Roman" w:eastAsia="Times New Roman" w:hAnsi="Times New Roman" w:cs="Times New Roman"/>
          <w:b/>
          <w:bCs/>
          <w:color w:val="auto"/>
          <w:sz w:val="24"/>
          <w:szCs w:val="24"/>
          <w:lang w:val="en-IN" w:eastAsia="en-IN"/>
        </w:rPr>
        <w:t>Eligibility waterfall</w:t>
      </w:r>
      <w:r w:rsidRPr="00B32B0D">
        <w:rPr>
          <w:rFonts w:ascii="Times New Roman" w:eastAsia="Times New Roman" w:hAnsi="Times New Roman" w:cs="Times New Roman"/>
          <w:color w:val="auto"/>
          <w:sz w:val="24"/>
          <w:szCs w:val="24"/>
          <w:lang w:val="en-IN" w:eastAsia="en-IN"/>
        </w:rPr>
        <w:t xml:space="preserve"> for compensation claims by tranche and category.</w:t>
      </w:r>
    </w:p>
    <w:p w:rsidR="001E0593" w:rsidRPr="00B32B0D" w:rsidRDefault="001E0593" w:rsidP="00B32B0D">
      <w:pPr>
        <w:pStyle w:val="ListParagraph"/>
        <w:numPr>
          <w:ilvl w:val="0"/>
          <w:numId w:val="19"/>
        </w:numPr>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32B0D">
        <w:rPr>
          <w:rFonts w:ascii="Times New Roman" w:eastAsia="Times New Roman" w:hAnsi="Times New Roman" w:cs="Times New Roman"/>
          <w:color w:val="auto"/>
          <w:sz w:val="24"/>
          <w:szCs w:val="24"/>
          <w:lang w:val="en-IN" w:eastAsia="en-IN"/>
        </w:rPr>
        <w:t xml:space="preserve">Scenario model comparing </w:t>
      </w:r>
      <w:r w:rsidRPr="00B32B0D">
        <w:rPr>
          <w:rFonts w:ascii="Times New Roman" w:eastAsia="Times New Roman" w:hAnsi="Times New Roman" w:cs="Times New Roman"/>
          <w:b/>
          <w:bCs/>
          <w:color w:val="auto"/>
          <w:sz w:val="24"/>
          <w:szCs w:val="24"/>
          <w:lang w:val="en-IN" w:eastAsia="en-IN"/>
        </w:rPr>
        <w:t>actual vs. counterfactual</w:t>
      </w:r>
      <w:r w:rsidRPr="00B32B0D">
        <w:rPr>
          <w:rFonts w:ascii="Times New Roman" w:eastAsia="Times New Roman" w:hAnsi="Times New Roman" w:cs="Times New Roman"/>
          <w:color w:val="auto"/>
          <w:sz w:val="24"/>
          <w:szCs w:val="24"/>
          <w:lang w:val="en-IN" w:eastAsia="en-IN"/>
        </w:rPr>
        <w:t xml:space="preserve"> outcomes if the Cross functioned normally.</w:t>
      </w:r>
    </w:p>
    <w:p w:rsidR="001E0593" w:rsidRPr="001E0593" w:rsidRDefault="001E0593" w:rsidP="00B663A3">
      <w:pPr>
        <w:spacing w:before="100" w:beforeAutospacing="1" w:after="100" w:afterAutospacing="1" w:line="360" w:lineRule="auto"/>
        <w:ind w:left="-284" w:right="-291"/>
        <w:jc w:val="both"/>
        <w:rPr>
          <w:rFonts w:ascii="Times New Roman" w:eastAsia="Times New Roman" w:hAnsi="Times New Roman" w:cs="Times New Roman"/>
          <w:color w:val="auto"/>
          <w:sz w:val="24"/>
          <w:szCs w:val="24"/>
          <w:lang w:val="en-IN" w:eastAsia="en-IN"/>
        </w:rPr>
      </w:pPr>
      <w:r w:rsidRPr="001E0593">
        <w:rPr>
          <w:rFonts w:ascii="Times New Roman" w:eastAsia="Times New Roman" w:hAnsi="Times New Roman" w:cs="Times New Roman"/>
          <w:b/>
          <w:bCs/>
          <w:color w:val="auto"/>
          <w:sz w:val="24"/>
          <w:szCs w:val="24"/>
          <w:lang w:val="en-IN" w:eastAsia="en-IN"/>
        </w:rPr>
        <w:t>Actionable recommendations:</w:t>
      </w:r>
      <w:r w:rsidRPr="001E0593">
        <w:rPr>
          <w:rFonts w:ascii="Times New Roman" w:eastAsia="Times New Roman" w:hAnsi="Times New Roman" w:cs="Times New Roman"/>
          <w:color w:val="auto"/>
          <w:sz w:val="24"/>
          <w:szCs w:val="24"/>
          <w:lang w:val="en-IN" w:eastAsia="en-IN"/>
        </w:rPr>
        <w:t xml:space="preserve"> Strengthen kill</w:t>
      </w:r>
      <w:r w:rsidRPr="001E0593">
        <w:rPr>
          <w:rFonts w:ascii="Times New Roman" w:eastAsia="Times New Roman" w:hAnsi="Times New Roman" w:cs="Times New Roman"/>
          <w:color w:val="auto"/>
          <w:sz w:val="24"/>
          <w:szCs w:val="24"/>
          <w:lang w:val="en-IN" w:eastAsia="en-IN"/>
        </w:rPr>
        <w:noBreakHyphen/>
        <w:t>switches and safe</w:t>
      </w:r>
      <w:r w:rsidRPr="001E0593">
        <w:rPr>
          <w:rFonts w:ascii="Times New Roman" w:eastAsia="Times New Roman" w:hAnsi="Times New Roman" w:cs="Times New Roman"/>
          <w:color w:val="auto"/>
          <w:sz w:val="24"/>
          <w:szCs w:val="24"/>
          <w:lang w:val="en-IN" w:eastAsia="en-IN"/>
        </w:rPr>
        <w:noBreakHyphen/>
        <w:t>mode IPO Cross; publish real</w:t>
      </w:r>
      <w:r w:rsidRPr="001E0593">
        <w:rPr>
          <w:rFonts w:ascii="Times New Roman" w:eastAsia="Times New Roman" w:hAnsi="Times New Roman" w:cs="Times New Roman"/>
          <w:color w:val="auto"/>
          <w:sz w:val="24"/>
          <w:szCs w:val="24"/>
          <w:lang w:val="en-IN" w:eastAsia="en-IN"/>
        </w:rPr>
        <w:noBreakHyphen/>
        <w:t>time state telemetry to participants; mandate parallel “shadow” confirmation channel; pre</w:t>
      </w:r>
      <w:r w:rsidRPr="001E0593">
        <w:rPr>
          <w:rFonts w:ascii="Times New Roman" w:eastAsia="Times New Roman" w:hAnsi="Times New Roman" w:cs="Times New Roman"/>
          <w:color w:val="auto"/>
          <w:sz w:val="24"/>
          <w:szCs w:val="24"/>
          <w:lang w:val="en-IN" w:eastAsia="en-IN"/>
        </w:rPr>
        <w:noBreakHyphen/>
        <w:t>IPO stress tests with third</w:t>
      </w:r>
      <w:r w:rsidRPr="001E0593">
        <w:rPr>
          <w:rFonts w:ascii="Times New Roman" w:eastAsia="Times New Roman" w:hAnsi="Times New Roman" w:cs="Times New Roman"/>
          <w:color w:val="auto"/>
          <w:sz w:val="24"/>
          <w:szCs w:val="24"/>
          <w:lang w:val="en-IN" w:eastAsia="en-IN"/>
        </w:rPr>
        <w:noBreakHyphen/>
        <w:t>party attestation; post</w:t>
      </w:r>
      <w:r w:rsidRPr="001E0593">
        <w:rPr>
          <w:rFonts w:ascii="Times New Roman" w:eastAsia="Times New Roman" w:hAnsi="Times New Roman" w:cs="Times New Roman"/>
          <w:color w:val="auto"/>
          <w:sz w:val="24"/>
          <w:szCs w:val="24"/>
          <w:lang w:val="en-IN" w:eastAsia="en-IN"/>
        </w:rPr>
        <w:noBreakHyphen/>
        <w:t>trade exception controls that net out exposure before settlement date (T+3 in 2012 context).</w:t>
      </w:r>
    </w:p>
    <w:p w:rsidR="00C6554A" w:rsidRPr="00D5413C" w:rsidRDefault="001E0593" w:rsidP="001E0593">
      <w:pPr>
        <w:pStyle w:val="Heading2"/>
        <w:tabs>
          <w:tab w:val="left" w:pos="7680"/>
        </w:tabs>
        <w:ind w:right="-149"/>
      </w:pPr>
      <w:r>
        <w:tab/>
      </w:r>
    </w:p>
    <w:p w:rsidR="002C74C0" w:rsidRDefault="002070A7" w:rsidP="001E0593">
      <w:pPr>
        <w:ind w:left="-284"/>
      </w:pPr>
    </w:p>
    <w:p w:rsidR="00B32B0D" w:rsidRPr="008C5A55" w:rsidRDefault="00B32B0D" w:rsidP="00B32B0D">
      <w:pPr>
        <w:pStyle w:val="Heading2"/>
        <w:ind w:left="-284"/>
        <w:rPr>
          <w:b/>
          <w:sz w:val="32"/>
          <w:u w:val="single"/>
        </w:rPr>
      </w:pPr>
      <w:r w:rsidRPr="008C5A55">
        <w:rPr>
          <w:b/>
          <w:sz w:val="32"/>
          <w:u w:val="single"/>
        </w:rPr>
        <w:lastRenderedPageBreak/>
        <w:t>Background &amp; Context</w:t>
      </w:r>
    </w:p>
    <w:p w:rsidR="00576885" w:rsidRPr="00576885" w:rsidRDefault="00576885" w:rsidP="00576885">
      <w:pPr>
        <w:numPr>
          <w:ilvl w:val="0"/>
          <w:numId w:val="33"/>
        </w:numPr>
        <w:spacing w:before="100" w:beforeAutospacing="1" w:after="100" w:afterAutospacing="1" w:line="360" w:lineRule="auto"/>
        <w:rPr>
          <w:rFonts w:ascii="Times New Roman" w:eastAsia="Times New Roman" w:hAnsi="Times New Roman" w:cs="Times New Roman"/>
          <w:color w:val="auto"/>
          <w:sz w:val="24"/>
          <w:szCs w:val="24"/>
          <w:lang w:val="en-IN" w:eastAsia="en-IN"/>
        </w:rPr>
      </w:pPr>
      <w:r w:rsidRPr="00576885">
        <w:rPr>
          <w:rFonts w:ascii="Times New Roman" w:eastAsia="Times New Roman" w:hAnsi="Times New Roman" w:cs="Times New Roman"/>
          <w:b/>
          <w:bCs/>
          <w:color w:val="auto"/>
          <w:sz w:val="24"/>
          <w:szCs w:val="24"/>
          <w:lang w:val="en-IN" w:eastAsia="en-IN"/>
        </w:rPr>
        <w:t>IPO Date:</w:t>
      </w:r>
      <w:r w:rsidRPr="00576885">
        <w:rPr>
          <w:rFonts w:ascii="Times New Roman" w:eastAsia="Times New Roman" w:hAnsi="Times New Roman" w:cs="Times New Roman"/>
          <w:color w:val="auto"/>
          <w:sz w:val="24"/>
          <w:szCs w:val="24"/>
          <w:lang w:val="en-IN" w:eastAsia="en-IN"/>
        </w:rPr>
        <w:t xml:space="preserve"> May 18, 2012</w:t>
      </w:r>
    </w:p>
    <w:p w:rsidR="00576885" w:rsidRPr="00576885" w:rsidRDefault="00576885" w:rsidP="00576885">
      <w:pPr>
        <w:numPr>
          <w:ilvl w:val="0"/>
          <w:numId w:val="33"/>
        </w:numPr>
        <w:spacing w:before="100" w:beforeAutospacing="1" w:after="100" w:afterAutospacing="1" w:line="360" w:lineRule="auto"/>
        <w:rPr>
          <w:rFonts w:ascii="Times New Roman" w:eastAsia="Times New Roman" w:hAnsi="Times New Roman" w:cs="Times New Roman"/>
          <w:color w:val="auto"/>
          <w:sz w:val="24"/>
          <w:szCs w:val="24"/>
          <w:lang w:val="en-IN" w:eastAsia="en-IN"/>
        </w:rPr>
      </w:pPr>
      <w:r w:rsidRPr="00576885">
        <w:rPr>
          <w:rFonts w:ascii="Times New Roman" w:eastAsia="Times New Roman" w:hAnsi="Times New Roman" w:cs="Times New Roman"/>
          <w:b/>
          <w:bCs/>
          <w:color w:val="auto"/>
          <w:sz w:val="24"/>
          <w:szCs w:val="24"/>
          <w:lang w:val="en-IN" w:eastAsia="en-IN"/>
        </w:rPr>
        <w:t>Issuer:</w:t>
      </w:r>
      <w:r w:rsidRPr="00576885">
        <w:rPr>
          <w:rFonts w:ascii="Times New Roman" w:eastAsia="Times New Roman" w:hAnsi="Times New Roman" w:cs="Times New Roman"/>
          <w:color w:val="auto"/>
          <w:sz w:val="24"/>
          <w:szCs w:val="24"/>
          <w:lang w:val="en-IN" w:eastAsia="en-IN"/>
        </w:rPr>
        <w:t xml:space="preserve"> Facebook, Inc.</w:t>
      </w:r>
    </w:p>
    <w:p w:rsidR="00576885" w:rsidRPr="00576885" w:rsidRDefault="00576885" w:rsidP="00576885">
      <w:pPr>
        <w:numPr>
          <w:ilvl w:val="0"/>
          <w:numId w:val="33"/>
        </w:numPr>
        <w:spacing w:before="100" w:beforeAutospacing="1" w:after="100" w:afterAutospacing="1" w:line="360" w:lineRule="auto"/>
        <w:rPr>
          <w:rFonts w:ascii="Times New Roman" w:eastAsia="Times New Roman" w:hAnsi="Times New Roman" w:cs="Times New Roman"/>
          <w:color w:val="auto"/>
          <w:sz w:val="24"/>
          <w:szCs w:val="24"/>
          <w:lang w:val="en-IN" w:eastAsia="en-IN"/>
        </w:rPr>
      </w:pPr>
      <w:r w:rsidRPr="00576885">
        <w:rPr>
          <w:rFonts w:ascii="Times New Roman" w:eastAsia="Times New Roman" w:hAnsi="Times New Roman" w:cs="Times New Roman"/>
          <w:b/>
          <w:bCs/>
          <w:color w:val="auto"/>
          <w:sz w:val="24"/>
          <w:szCs w:val="24"/>
          <w:lang w:val="en-IN" w:eastAsia="en-IN"/>
        </w:rPr>
        <w:t>Exchange:</w:t>
      </w:r>
      <w:r w:rsidRPr="00576885">
        <w:rPr>
          <w:rFonts w:ascii="Times New Roman" w:eastAsia="Times New Roman" w:hAnsi="Times New Roman" w:cs="Times New Roman"/>
          <w:color w:val="auto"/>
          <w:sz w:val="24"/>
          <w:szCs w:val="24"/>
          <w:lang w:val="en-IN" w:eastAsia="en-IN"/>
        </w:rPr>
        <w:t xml:space="preserve"> NASDAQ</w:t>
      </w:r>
    </w:p>
    <w:p w:rsidR="00576885" w:rsidRPr="00576885" w:rsidRDefault="00576885" w:rsidP="00576885">
      <w:pPr>
        <w:numPr>
          <w:ilvl w:val="0"/>
          <w:numId w:val="33"/>
        </w:numPr>
        <w:spacing w:before="100" w:beforeAutospacing="1" w:after="100" w:afterAutospacing="1" w:line="360" w:lineRule="auto"/>
        <w:rPr>
          <w:rFonts w:ascii="Times New Roman" w:eastAsia="Times New Roman" w:hAnsi="Times New Roman" w:cs="Times New Roman"/>
          <w:color w:val="auto"/>
          <w:sz w:val="24"/>
          <w:szCs w:val="24"/>
          <w:lang w:val="en-IN" w:eastAsia="en-IN"/>
        </w:rPr>
      </w:pPr>
      <w:r w:rsidRPr="00576885">
        <w:rPr>
          <w:rFonts w:ascii="Times New Roman" w:eastAsia="Times New Roman" w:hAnsi="Times New Roman" w:cs="Times New Roman"/>
          <w:b/>
          <w:bCs/>
          <w:color w:val="auto"/>
          <w:sz w:val="24"/>
          <w:szCs w:val="24"/>
          <w:lang w:val="en-IN" w:eastAsia="en-IN"/>
        </w:rPr>
        <w:t>Offer Price:</w:t>
      </w:r>
      <w:r w:rsidRPr="00576885">
        <w:rPr>
          <w:rFonts w:ascii="Times New Roman" w:eastAsia="Times New Roman" w:hAnsi="Times New Roman" w:cs="Times New Roman"/>
          <w:color w:val="auto"/>
          <w:sz w:val="24"/>
          <w:szCs w:val="24"/>
          <w:lang w:val="en-IN" w:eastAsia="en-IN"/>
        </w:rPr>
        <w:t xml:space="preserve"> $38 per share</w:t>
      </w:r>
    </w:p>
    <w:p w:rsidR="00576885" w:rsidRPr="00576885" w:rsidRDefault="00576885" w:rsidP="00576885">
      <w:pPr>
        <w:numPr>
          <w:ilvl w:val="0"/>
          <w:numId w:val="33"/>
        </w:numPr>
        <w:spacing w:before="100" w:beforeAutospacing="1" w:after="100" w:afterAutospacing="1" w:line="360" w:lineRule="auto"/>
        <w:rPr>
          <w:rFonts w:ascii="Times New Roman" w:eastAsia="Times New Roman" w:hAnsi="Times New Roman" w:cs="Times New Roman"/>
          <w:color w:val="auto"/>
          <w:sz w:val="24"/>
          <w:szCs w:val="24"/>
          <w:lang w:val="en-IN" w:eastAsia="en-IN"/>
        </w:rPr>
      </w:pPr>
      <w:r w:rsidRPr="00576885">
        <w:rPr>
          <w:rFonts w:ascii="Times New Roman" w:eastAsia="Times New Roman" w:hAnsi="Times New Roman" w:cs="Times New Roman"/>
          <w:b/>
          <w:bCs/>
          <w:color w:val="auto"/>
          <w:sz w:val="24"/>
          <w:szCs w:val="24"/>
          <w:lang w:val="en-IN" w:eastAsia="en-IN"/>
        </w:rPr>
        <w:t>Total Shares Offered:</w:t>
      </w:r>
      <w:r w:rsidRPr="00576885">
        <w:rPr>
          <w:rFonts w:ascii="Times New Roman" w:eastAsia="Times New Roman" w:hAnsi="Times New Roman" w:cs="Times New Roman"/>
          <w:color w:val="auto"/>
          <w:sz w:val="24"/>
          <w:szCs w:val="24"/>
          <w:lang w:val="en-IN" w:eastAsia="en-IN"/>
        </w:rPr>
        <w:t xml:space="preserve"> 421 million</w:t>
      </w:r>
    </w:p>
    <w:p w:rsidR="00576885" w:rsidRPr="00576885" w:rsidRDefault="00576885" w:rsidP="00576885">
      <w:pPr>
        <w:numPr>
          <w:ilvl w:val="0"/>
          <w:numId w:val="33"/>
        </w:numPr>
        <w:spacing w:before="100" w:beforeAutospacing="1" w:after="100" w:afterAutospacing="1" w:line="360" w:lineRule="auto"/>
        <w:rPr>
          <w:rFonts w:ascii="Times New Roman" w:eastAsia="Times New Roman" w:hAnsi="Times New Roman" w:cs="Times New Roman"/>
          <w:color w:val="auto"/>
          <w:sz w:val="24"/>
          <w:szCs w:val="24"/>
          <w:lang w:val="en-IN" w:eastAsia="en-IN"/>
        </w:rPr>
      </w:pPr>
      <w:r w:rsidRPr="00576885">
        <w:rPr>
          <w:rFonts w:ascii="Times New Roman" w:eastAsia="Times New Roman" w:hAnsi="Times New Roman" w:cs="Times New Roman"/>
          <w:b/>
          <w:bCs/>
          <w:color w:val="auto"/>
          <w:sz w:val="24"/>
          <w:szCs w:val="24"/>
          <w:lang w:val="en-IN" w:eastAsia="en-IN"/>
        </w:rPr>
        <w:t>Expected Proceeds:</w:t>
      </w:r>
      <w:r w:rsidRPr="00576885">
        <w:rPr>
          <w:rFonts w:ascii="Times New Roman" w:eastAsia="Times New Roman" w:hAnsi="Times New Roman" w:cs="Times New Roman"/>
          <w:color w:val="auto"/>
          <w:sz w:val="24"/>
          <w:szCs w:val="24"/>
          <w:lang w:val="en-IN" w:eastAsia="en-IN"/>
        </w:rPr>
        <w:t xml:space="preserve"> $16 billion (largest tech IPO at that time)</w:t>
      </w:r>
    </w:p>
    <w:p w:rsidR="00B32B0D" w:rsidRPr="00576885" w:rsidRDefault="00576885" w:rsidP="00576885">
      <w:pPr>
        <w:spacing w:before="100" w:beforeAutospacing="1" w:after="100" w:afterAutospacing="1" w:line="360" w:lineRule="auto"/>
        <w:ind w:left="-284" w:right="-291"/>
        <w:rPr>
          <w:rFonts w:ascii="Times New Roman" w:eastAsia="Times New Roman" w:hAnsi="Times New Roman" w:cs="Times New Roman"/>
          <w:color w:val="auto"/>
          <w:sz w:val="24"/>
          <w:szCs w:val="24"/>
          <w:lang w:val="en-IN" w:eastAsia="en-IN"/>
        </w:rPr>
      </w:pPr>
      <w:r w:rsidRPr="00576885">
        <w:rPr>
          <w:rFonts w:ascii="Times New Roman" w:eastAsia="Times New Roman" w:hAnsi="Times New Roman" w:cs="Times New Roman"/>
          <w:color w:val="auto"/>
          <w:sz w:val="24"/>
          <w:szCs w:val="24"/>
          <w:lang w:val="en-IN" w:eastAsia="en-IN"/>
        </w:rPr>
        <w:t>The IPO’s success depended heavily on NASDAQ’s IPO Cross system, designed to consolidate buy and sell orders into a single opening print. The system, however, failed to handle the surge in order messages, resulting in delays and cascading errors.</w:t>
      </w:r>
    </w:p>
    <w:p w:rsidR="00DF78F1" w:rsidRDefault="005376EC" w:rsidP="00F14C80">
      <w:pPr>
        <w:pStyle w:val="NormalWeb"/>
        <w:spacing w:line="360" w:lineRule="auto"/>
        <w:ind w:left="-284" w:right="-291"/>
        <w:jc w:val="both"/>
      </w:pPr>
      <w:r>
        <w:rPr>
          <w:rStyle w:val="Strong"/>
        </w:rPr>
        <w:t>Order flow expectation:</w:t>
      </w:r>
      <w:r w:rsidR="00B32B0D">
        <w:t xml:space="preserve"> Extremely high retail and institutional demand, with </w:t>
      </w:r>
      <w:r>
        <w:t>concentrated submission</w:t>
      </w:r>
      <w:r w:rsidR="00B32B0D">
        <w:t xml:space="preserve"> windows around the indicative match time.</w:t>
      </w:r>
    </w:p>
    <w:p w:rsidR="00DF78F1" w:rsidRDefault="00DF78F1" w:rsidP="00F14C80">
      <w:pPr>
        <w:pStyle w:val="NormalWeb"/>
        <w:spacing w:line="360" w:lineRule="auto"/>
        <w:ind w:left="-284" w:right="-291"/>
        <w:jc w:val="both"/>
      </w:pPr>
      <w:r>
        <w:rPr>
          <w:rStyle w:val="Strong"/>
        </w:rPr>
        <w:t xml:space="preserve">Microstructure primer </w:t>
      </w:r>
      <w:r w:rsidR="00B32B0D">
        <w:rPr>
          <w:rStyle w:val="Strong"/>
        </w:rPr>
        <w:t>(IPO Cross):</w:t>
      </w:r>
      <w:r w:rsidR="00B32B0D">
        <w:t xml:space="preserve"> The Cross aggregates b</w:t>
      </w:r>
      <w:r>
        <w:t xml:space="preserve">uy/sell interest and executes </w:t>
      </w:r>
      <w:r w:rsidR="00B32B0D">
        <w:t xml:space="preserve">single opening print that establishes continuous trading. Precise </w:t>
      </w:r>
      <w:r>
        <w:rPr>
          <w:rStyle w:val="Strong"/>
        </w:rPr>
        <w:t xml:space="preserve">message sequencing, </w:t>
      </w:r>
      <w:r w:rsidR="00B32B0D">
        <w:rPr>
          <w:rStyle w:val="Strong"/>
        </w:rPr>
        <w:t>acknowledgments, and re</w:t>
      </w:r>
      <w:r w:rsidR="00B32B0D">
        <w:rPr>
          <w:rStyle w:val="Strong"/>
        </w:rPr>
        <w:noBreakHyphen/>
        <w:t>opening logic</w:t>
      </w:r>
      <w:r w:rsidR="008A0CE8">
        <w:t xml:space="preserve"> </w:t>
      </w:r>
      <w:r w:rsidR="00B32B0D">
        <w:t>are critical to avoid orphaned orders.</w:t>
      </w:r>
    </w:p>
    <w:p w:rsidR="00B32B0D" w:rsidRDefault="000165AF" w:rsidP="00F14C80">
      <w:pPr>
        <w:pStyle w:val="NormalWeb"/>
        <w:spacing w:line="360" w:lineRule="auto"/>
        <w:ind w:left="-284" w:right="-291"/>
        <w:jc w:val="both"/>
      </w:pPr>
      <w:r>
        <w:rPr>
          <w:rStyle w:val="Strong"/>
        </w:rPr>
        <w:t xml:space="preserve">Settlement </w:t>
      </w:r>
      <w:r w:rsidR="005376EC">
        <w:rPr>
          <w:rStyle w:val="Strong"/>
        </w:rPr>
        <w:t>lens:</w:t>
      </w:r>
      <w:r w:rsidR="005376EC">
        <w:t xml:space="preserve"> </w:t>
      </w:r>
      <w:r w:rsidR="00B32B0D">
        <w:t>While the immediate problem was trading</w:t>
      </w:r>
      <w:r w:rsidR="00B32B0D">
        <w:noBreakHyphen/>
        <w:t xml:space="preserve">day execution integrity (acknowledgments, fills), </w:t>
      </w:r>
      <w:r w:rsidR="00B32B0D">
        <w:rPr>
          <w:rStyle w:val="Strong"/>
        </w:rPr>
        <w:t>downstream clearing/settlement</w:t>
      </w:r>
      <w:r w:rsidR="00B32B0D">
        <w:t xml:space="preserve"> risks increased due to ambiguous or delayed execution status and route confirmations, complicating T+3 settle</w:t>
      </w:r>
      <w:r>
        <w:t>ment obligations then in effect.</w:t>
      </w:r>
    </w:p>
    <w:p w:rsidR="001B7558" w:rsidRDefault="001B7558" w:rsidP="005376EC">
      <w:pPr>
        <w:pStyle w:val="NormalWeb"/>
        <w:spacing w:line="360" w:lineRule="auto"/>
        <w:ind w:left="-284" w:right="-291"/>
        <w:jc w:val="both"/>
      </w:pPr>
    </w:p>
    <w:p w:rsidR="005376EC" w:rsidRDefault="005376EC" w:rsidP="005376EC">
      <w:pPr>
        <w:pStyle w:val="NormalWeb"/>
        <w:spacing w:line="360" w:lineRule="auto"/>
        <w:ind w:left="-284" w:right="-291"/>
        <w:jc w:val="both"/>
      </w:pPr>
    </w:p>
    <w:p w:rsidR="00B32B0D" w:rsidRPr="00B32B0D" w:rsidRDefault="00B32B0D" w:rsidP="00B32B0D"/>
    <w:p w:rsidR="00D03FE6" w:rsidRDefault="00D03FE6"/>
    <w:p w:rsidR="00D03FE6" w:rsidRDefault="00D03FE6"/>
    <w:p w:rsidR="001B7558" w:rsidRPr="001B7558" w:rsidRDefault="001B7558" w:rsidP="00CE2C7D">
      <w:pPr>
        <w:pStyle w:val="Heading2"/>
        <w:ind w:left="-284"/>
        <w:rPr>
          <w:b/>
          <w:sz w:val="32"/>
        </w:rPr>
      </w:pPr>
      <w:r w:rsidRPr="008C5A55">
        <w:rPr>
          <w:b/>
          <w:sz w:val="32"/>
          <w:u w:val="single"/>
        </w:rPr>
        <w:lastRenderedPageBreak/>
        <w:t>Event Time</w:t>
      </w:r>
      <w:r w:rsidRPr="001B7558">
        <w:rPr>
          <w:b/>
          <w:sz w:val="32"/>
        </w:rPr>
        <w:t xml:space="preserve">line </w:t>
      </w:r>
    </w:p>
    <w:p w:rsidR="001B7558" w:rsidRDefault="001B7558" w:rsidP="00CE2C7D">
      <w:pPr>
        <w:pStyle w:val="NormalWeb"/>
        <w:spacing w:line="360" w:lineRule="auto"/>
        <w:ind w:left="-284" w:right="-291"/>
        <w:jc w:val="both"/>
      </w:pPr>
      <w:r>
        <w:rPr>
          <w:rStyle w:val="Strong"/>
        </w:rPr>
        <w:t>Pre</w:t>
      </w:r>
      <w:r>
        <w:rPr>
          <w:rStyle w:val="Strong"/>
        </w:rPr>
        <w:noBreakHyphen/>
        <w:t>Open:</w:t>
      </w:r>
      <w:r w:rsidR="00B24151">
        <w:t xml:space="preserve"> Surge in order </w:t>
      </w:r>
      <w:r>
        <w:t>messages; indicative price bands update.</w:t>
      </w:r>
      <w:r>
        <w:br/>
      </w:r>
      <w:r>
        <w:rPr>
          <w:rStyle w:val="Strong"/>
        </w:rPr>
        <w:t>Expected Cross Time:</w:t>
      </w:r>
      <w:r w:rsidR="00CE2C7D">
        <w:t xml:space="preserve">  </w:t>
      </w:r>
      <w:r w:rsidR="00B24151">
        <w:t xml:space="preserve"> </w:t>
      </w:r>
      <w:r>
        <w:t>System queuing delay; some orders remain unconfirmed.</w:t>
      </w:r>
    </w:p>
    <w:p w:rsidR="001B7558" w:rsidRDefault="00F14C80" w:rsidP="00CE2C7D">
      <w:pPr>
        <w:pStyle w:val="NormalWeb"/>
        <w:spacing w:line="360" w:lineRule="auto"/>
        <w:ind w:left="-284" w:right="-291"/>
        <w:jc w:val="both"/>
      </w:pPr>
      <w:proofErr w:type="gramStart"/>
      <w:r>
        <w:rPr>
          <w:rStyle w:val="Strong"/>
        </w:rPr>
        <w:t>11:xx</w:t>
      </w:r>
      <w:proofErr w:type="gramEnd"/>
      <w:r w:rsidR="001B7558">
        <w:rPr>
          <w:rStyle w:val="Strong"/>
        </w:rPr>
        <w:t>–12:xx (ET):</w:t>
      </w:r>
      <w:r w:rsidR="00CE2C7D">
        <w:t xml:space="preserve"> </w:t>
      </w:r>
      <w:r w:rsidR="001B7558">
        <w:t>Acknowledgment delays and out</w:t>
      </w:r>
      <w:r w:rsidR="001B7558">
        <w:noBreakHyphen/>
        <w:t>of</w:t>
      </w:r>
      <w:r w:rsidR="001B7558">
        <w:noBreakHyphen/>
        <w:t xml:space="preserve">sequence handling create </w:t>
      </w:r>
      <w:r w:rsidR="001B7558">
        <w:rPr>
          <w:rStyle w:val="Strong"/>
        </w:rPr>
        <w:t>“stuck” orders</w:t>
      </w:r>
      <w:r w:rsidR="001B7558">
        <w:t xml:space="preserve"> that do not participate in the Cross yet remain live in the system.</w:t>
      </w:r>
    </w:p>
    <w:p w:rsidR="001B7558" w:rsidRDefault="001B7558" w:rsidP="00CE2C7D">
      <w:pPr>
        <w:pStyle w:val="NormalWeb"/>
        <w:spacing w:line="360" w:lineRule="auto"/>
        <w:ind w:left="-284" w:right="-291"/>
        <w:jc w:val="both"/>
      </w:pPr>
      <w:proofErr w:type="gramStart"/>
      <w:r>
        <w:rPr>
          <w:rStyle w:val="Strong"/>
        </w:rPr>
        <w:t>12:xx</w:t>
      </w:r>
      <w:proofErr w:type="gramEnd"/>
      <w:r>
        <w:rPr>
          <w:rStyle w:val="Strong"/>
        </w:rPr>
        <w:t xml:space="preserve">–13:50 </w:t>
      </w:r>
      <w:r w:rsidR="0079626C">
        <w:rPr>
          <w:rStyle w:val="Strong"/>
        </w:rPr>
        <w:t xml:space="preserve"> </w:t>
      </w:r>
      <w:r>
        <w:rPr>
          <w:rStyle w:val="Strong"/>
        </w:rPr>
        <w:t>(ET):</w:t>
      </w:r>
      <w:r>
        <w:t xml:space="preserve"> </w:t>
      </w:r>
      <w:r w:rsidR="00CE2C7D">
        <w:t xml:space="preserve"> </w:t>
      </w:r>
      <w:r w:rsidR="0079626C">
        <w:t xml:space="preserve"> </w:t>
      </w:r>
      <w:r>
        <w:t>Post</w:t>
      </w:r>
      <w:r>
        <w:noBreakHyphen/>
        <w:t>Cross order priority irregularities; newer orders receive priority over earlier “stuck” orders; confirmations dribble out; trade reporting mismatches emerge.</w:t>
      </w:r>
    </w:p>
    <w:p w:rsidR="001B7558" w:rsidRDefault="001B7558" w:rsidP="00CE2C7D">
      <w:pPr>
        <w:pStyle w:val="NormalWeb"/>
        <w:spacing w:line="360" w:lineRule="auto"/>
        <w:ind w:left="-284" w:right="-291"/>
        <w:jc w:val="both"/>
      </w:pPr>
      <w:r>
        <w:rPr>
          <w:rStyle w:val="Strong"/>
        </w:rPr>
        <w:t>After Close → T+1/T+3:</w:t>
      </w:r>
      <w:r>
        <w:t xml:space="preserve"> Break reconciliation; </w:t>
      </w:r>
      <w:r>
        <w:rPr>
          <w:rStyle w:val="Strong"/>
        </w:rPr>
        <w:t>claims</w:t>
      </w:r>
      <w:r>
        <w:t xml:space="preserve"> from members for realized/unrealized losses; regulatory inquiries initiate; remediation progra</w:t>
      </w:r>
      <w:r w:rsidR="00CE2C7D">
        <w:t>m proposed and finalized in 2012</w:t>
      </w:r>
      <w:r>
        <w:t>.</w:t>
      </w:r>
    </w:p>
    <w:p w:rsidR="00B24151" w:rsidRDefault="00B24151" w:rsidP="00CE2C7D">
      <w:pPr>
        <w:pStyle w:val="NormalWeb"/>
        <w:spacing w:line="360" w:lineRule="auto"/>
        <w:ind w:left="-284" w:right="-291"/>
        <w:jc w:val="both"/>
      </w:pPr>
    </w:p>
    <w:p w:rsidR="00B24151" w:rsidRDefault="00B24151" w:rsidP="00CE2C7D">
      <w:pPr>
        <w:pStyle w:val="NormalWeb"/>
        <w:spacing w:line="360" w:lineRule="auto"/>
        <w:ind w:left="-284" w:right="-291"/>
        <w:jc w:val="both"/>
      </w:pPr>
    </w:p>
    <w:p w:rsidR="00B24151" w:rsidRDefault="00B24151" w:rsidP="00CE2C7D">
      <w:pPr>
        <w:pStyle w:val="NormalWeb"/>
        <w:spacing w:line="360" w:lineRule="auto"/>
        <w:ind w:left="-284" w:right="-291"/>
        <w:jc w:val="both"/>
      </w:pPr>
    </w:p>
    <w:p w:rsidR="00B24151" w:rsidRDefault="00B24151" w:rsidP="00CE2C7D">
      <w:pPr>
        <w:pStyle w:val="NormalWeb"/>
        <w:spacing w:line="360" w:lineRule="auto"/>
        <w:ind w:left="-284" w:right="-291"/>
        <w:jc w:val="both"/>
      </w:pPr>
    </w:p>
    <w:p w:rsidR="00B24151" w:rsidRDefault="00B24151" w:rsidP="00CE2C7D">
      <w:pPr>
        <w:pStyle w:val="NormalWeb"/>
        <w:spacing w:line="360" w:lineRule="auto"/>
        <w:ind w:left="-284" w:right="-291"/>
        <w:jc w:val="both"/>
      </w:pPr>
    </w:p>
    <w:p w:rsidR="00B24151" w:rsidRDefault="00B24151" w:rsidP="00CE2C7D">
      <w:pPr>
        <w:pStyle w:val="NormalWeb"/>
        <w:spacing w:line="360" w:lineRule="auto"/>
        <w:ind w:left="-284" w:right="-291"/>
        <w:jc w:val="both"/>
      </w:pPr>
    </w:p>
    <w:p w:rsidR="00B24151" w:rsidRDefault="00B24151" w:rsidP="00CE2C7D">
      <w:pPr>
        <w:pStyle w:val="NormalWeb"/>
        <w:spacing w:line="360" w:lineRule="auto"/>
        <w:ind w:left="-284" w:right="-291"/>
        <w:jc w:val="both"/>
      </w:pPr>
    </w:p>
    <w:p w:rsidR="00B24151" w:rsidRDefault="00B24151" w:rsidP="00CE2C7D">
      <w:pPr>
        <w:pStyle w:val="NormalWeb"/>
        <w:spacing w:line="360" w:lineRule="auto"/>
        <w:ind w:left="-284" w:right="-291"/>
        <w:jc w:val="both"/>
      </w:pPr>
    </w:p>
    <w:p w:rsidR="00B24151" w:rsidRDefault="00B24151" w:rsidP="00CE2C7D">
      <w:pPr>
        <w:pStyle w:val="NormalWeb"/>
        <w:spacing w:line="360" w:lineRule="auto"/>
        <w:ind w:left="-284" w:right="-291"/>
        <w:jc w:val="both"/>
      </w:pPr>
    </w:p>
    <w:p w:rsidR="00B24151" w:rsidRDefault="00B24151" w:rsidP="00CE2C7D">
      <w:pPr>
        <w:pStyle w:val="NormalWeb"/>
        <w:spacing w:line="360" w:lineRule="auto"/>
        <w:ind w:left="-284" w:right="-291"/>
        <w:jc w:val="both"/>
      </w:pPr>
    </w:p>
    <w:p w:rsidR="00B24151" w:rsidRDefault="00B24151" w:rsidP="00CE2C7D">
      <w:pPr>
        <w:pStyle w:val="NormalWeb"/>
        <w:spacing w:line="360" w:lineRule="auto"/>
        <w:ind w:left="-284" w:right="-291"/>
        <w:jc w:val="both"/>
      </w:pPr>
    </w:p>
    <w:p w:rsidR="00B24151" w:rsidRPr="008C5A55" w:rsidRDefault="00B24151" w:rsidP="004B5702">
      <w:pPr>
        <w:pStyle w:val="Heading2"/>
        <w:ind w:left="-284"/>
        <w:rPr>
          <w:b/>
          <w:sz w:val="32"/>
          <w:u w:val="single"/>
        </w:rPr>
      </w:pPr>
      <w:r w:rsidRPr="008C5A55">
        <w:rPr>
          <w:b/>
          <w:sz w:val="32"/>
          <w:u w:val="single"/>
        </w:rPr>
        <w:lastRenderedPageBreak/>
        <w:t>Failure Analysis</w:t>
      </w:r>
    </w:p>
    <w:p w:rsidR="00B24151" w:rsidRDefault="00B24151" w:rsidP="004B5702">
      <w:pPr>
        <w:pStyle w:val="NormalWeb"/>
        <w:spacing w:line="360" w:lineRule="auto"/>
        <w:ind w:left="-284"/>
      </w:pPr>
      <w:r>
        <w:rPr>
          <w:rStyle w:val="Strong"/>
        </w:rPr>
        <w:t>IPO Cross Logic &amp; Queueing</w:t>
      </w:r>
    </w:p>
    <w:p w:rsidR="00B24151" w:rsidRDefault="00B24151" w:rsidP="004B5702">
      <w:pPr>
        <w:pStyle w:val="NormalWeb"/>
        <w:numPr>
          <w:ilvl w:val="0"/>
          <w:numId w:val="20"/>
        </w:numPr>
        <w:spacing w:line="360" w:lineRule="auto"/>
        <w:ind w:right="-291"/>
        <w:jc w:val="both"/>
      </w:pPr>
      <w:r>
        <w:t>State</w:t>
      </w:r>
      <w:r>
        <w:noBreakHyphen/>
        <w:t xml:space="preserve">transition faults created race conditions between </w:t>
      </w:r>
      <w:r>
        <w:rPr>
          <w:rStyle w:val="Strong"/>
        </w:rPr>
        <w:t>order acceptance</w:t>
      </w:r>
      <w:r>
        <w:t xml:space="preserve">, </w:t>
      </w:r>
      <w:r>
        <w:rPr>
          <w:rStyle w:val="Strong"/>
        </w:rPr>
        <w:t>Cross inclusion</w:t>
      </w:r>
      <w:r>
        <w:t xml:space="preserve">, and </w:t>
      </w:r>
      <w:r>
        <w:rPr>
          <w:rStyle w:val="Strong"/>
        </w:rPr>
        <w:t>acknowledgment generation</w:t>
      </w:r>
      <w:r>
        <w:t>.</w:t>
      </w:r>
    </w:p>
    <w:p w:rsidR="00B24151" w:rsidRDefault="00B24151" w:rsidP="004B5702">
      <w:pPr>
        <w:pStyle w:val="NormalWeb"/>
        <w:numPr>
          <w:ilvl w:val="0"/>
          <w:numId w:val="20"/>
        </w:numPr>
        <w:spacing w:line="360" w:lineRule="auto"/>
        <w:ind w:right="-291"/>
        <w:jc w:val="both"/>
      </w:pPr>
      <w:r>
        <w:t>Failure mode: Orders entered pre</w:t>
      </w:r>
      <w:r>
        <w:noBreakHyphen/>
        <w:t xml:space="preserve">Cross were not included in the Cross print yet were not cleanly </w:t>
      </w:r>
      <w:r w:rsidR="0079626C">
        <w:t>cancelled</w:t>
      </w:r>
      <w:r>
        <w:t xml:space="preserve"> or acknowledged — resulting in </w:t>
      </w:r>
      <w:r>
        <w:rPr>
          <w:rStyle w:val="Strong"/>
        </w:rPr>
        <w:t>“stuck” orders</w:t>
      </w:r>
      <w:r>
        <w:t>.</w:t>
      </w:r>
    </w:p>
    <w:p w:rsidR="00B24151" w:rsidRDefault="00B24151" w:rsidP="004B5702">
      <w:pPr>
        <w:pStyle w:val="NormalWeb"/>
        <w:spacing w:line="360" w:lineRule="auto"/>
        <w:ind w:left="-284"/>
      </w:pPr>
      <w:r>
        <w:rPr>
          <w:rStyle w:val="Strong"/>
        </w:rPr>
        <w:t>Price/Time Priority Violations</w:t>
      </w:r>
    </w:p>
    <w:p w:rsidR="00B24151" w:rsidRDefault="00B24151" w:rsidP="004B5702">
      <w:pPr>
        <w:pStyle w:val="NormalWeb"/>
        <w:numPr>
          <w:ilvl w:val="0"/>
          <w:numId w:val="21"/>
        </w:numPr>
        <w:spacing w:line="360" w:lineRule="auto"/>
        <w:ind w:right="-291"/>
        <w:jc w:val="both"/>
      </w:pPr>
      <w:r>
        <w:t xml:space="preserve">“Stuck” orders lost correct priority, allowing later orders at equal/worse prices to execute first. This created systematic fairness issues and </w:t>
      </w:r>
      <w:r>
        <w:rPr>
          <w:rStyle w:val="Strong"/>
        </w:rPr>
        <w:t>unexpected P&amp;L</w:t>
      </w:r>
      <w:r>
        <w:t xml:space="preserve"> for members.</w:t>
      </w:r>
    </w:p>
    <w:p w:rsidR="00B24151" w:rsidRDefault="00B24151" w:rsidP="004B5702">
      <w:pPr>
        <w:pStyle w:val="NormalWeb"/>
        <w:spacing w:line="360" w:lineRule="auto"/>
        <w:ind w:left="-284"/>
      </w:pPr>
      <w:r>
        <w:rPr>
          <w:rStyle w:val="Strong"/>
        </w:rPr>
        <w:t>Confirmation &amp; Trade Reporting Defects</w:t>
      </w:r>
    </w:p>
    <w:p w:rsidR="00B24151" w:rsidRDefault="00B24151" w:rsidP="004B5702">
      <w:pPr>
        <w:pStyle w:val="NormalWeb"/>
        <w:numPr>
          <w:ilvl w:val="0"/>
          <w:numId w:val="22"/>
        </w:numPr>
        <w:spacing w:line="360" w:lineRule="auto"/>
        <w:ind w:right="-291"/>
        <w:jc w:val="both"/>
      </w:pPr>
      <w:r>
        <w:t xml:space="preserve">Late/absent execution reports hampered risk controls and routing decisions, increasing </w:t>
      </w:r>
      <w:r>
        <w:rPr>
          <w:rStyle w:val="Strong"/>
        </w:rPr>
        <w:t>market and settlement exposure</w:t>
      </w:r>
      <w:r>
        <w:t>.</w:t>
      </w:r>
    </w:p>
    <w:p w:rsidR="00B24151" w:rsidRDefault="00B24151" w:rsidP="004B5702">
      <w:pPr>
        <w:pStyle w:val="NormalWeb"/>
        <w:spacing w:line="360" w:lineRule="auto"/>
        <w:ind w:left="-284"/>
      </w:pPr>
      <w:r>
        <w:rPr>
          <w:rStyle w:val="Strong"/>
        </w:rPr>
        <w:t>Downstream Settlement Impact</w:t>
      </w:r>
    </w:p>
    <w:p w:rsidR="00D03FE6" w:rsidRDefault="00B24151" w:rsidP="00576885">
      <w:pPr>
        <w:pStyle w:val="NormalWeb"/>
        <w:numPr>
          <w:ilvl w:val="0"/>
          <w:numId w:val="23"/>
        </w:numPr>
        <w:spacing w:line="360" w:lineRule="auto"/>
        <w:ind w:right="-291"/>
        <w:jc w:val="both"/>
      </w:pPr>
      <w:r>
        <w:t xml:space="preserve">Unclear trade status propagated to clearing brokers and custodians, leading to </w:t>
      </w:r>
      <w:r>
        <w:rPr>
          <w:rStyle w:val="Strong"/>
        </w:rPr>
        <w:t>exception queues</w:t>
      </w:r>
      <w:r>
        <w:t xml:space="preserve">, manual breaks, and increased </w:t>
      </w:r>
      <w:r>
        <w:rPr>
          <w:rStyle w:val="Strong"/>
        </w:rPr>
        <w:t>fail</w:t>
      </w:r>
      <w:r>
        <w:rPr>
          <w:rStyle w:val="Strong"/>
        </w:rPr>
        <w:noBreakHyphen/>
        <w:t>to</w:t>
      </w:r>
      <w:r>
        <w:rPr>
          <w:rStyle w:val="Strong"/>
        </w:rPr>
        <w:noBreakHyphen/>
        <w:t>deliver</w:t>
      </w:r>
      <w:r>
        <w:t xml:space="preserve"> risk heading into T+3.</w:t>
      </w:r>
    </w:p>
    <w:p w:rsidR="00576885" w:rsidRDefault="00576885" w:rsidP="00576885">
      <w:pPr>
        <w:pStyle w:val="NormalWeb"/>
        <w:spacing w:line="360" w:lineRule="auto"/>
        <w:ind w:right="-291"/>
        <w:jc w:val="both"/>
      </w:pPr>
    </w:p>
    <w:p w:rsidR="00576885" w:rsidRDefault="00576885" w:rsidP="00576885">
      <w:pPr>
        <w:pStyle w:val="NormalWeb"/>
        <w:spacing w:line="360" w:lineRule="auto"/>
        <w:ind w:right="-291"/>
        <w:jc w:val="both"/>
      </w:pPr>
    </w:p>
    <w:p w:rsidR="00576885" w:rsidRDefault="00576885" w:rsidP="00576885">
      <w:pPr>
        <w:pStyle w:val="NormalWeb"/>
        <w:spacing w:line="360" w:lineRule="auto"/>
        <w:ind w:right="-291"/>
        <w:jc w:val="both"/>
      </w:pPr>
    </w:p>
    <w:p w:rsidR="00576885" w:rsidRDefault="00576885" w:rsidP="00576885">
      <w:pPr>
        <w:pStyle w:val="NormalWeb"/>
        <w:spacing w:line="360" w:lineRule="auto"/>
        <w:ind w:right="-291"/>
        <w:jc w:val="both"/>
      </w:pPr>
    </w:p>
    <w:p w:rsidR="00576885" w:rsidRPr="008C5A55" w:rsidRDefault="00576885" w:rsidP="00576885">
      <w:pPr>
        <w:pStyle w:val="Heading2"/>
        <w:ind w:left="-567" w:firstLine="284"/>
        <w:rPr>
          <w:b/>
          <w:sz w:val="32"/>
          <w:u w:val="single"/>
        </w:rPr>
      </w:pPr>
      <w:r w:rsidRPr="008C5A55">
        <w:rPr>
          <w:b/>
          <w:sz w:val="32"/>
          <w:u w:val="single"/>
        </w:rPr>
        <w:lastRenderedPageBreak/>
        <w:t>Impact Assessment</w:t>
      </w:r>
    </w:p>
    <w:p w:rsidR="00576885" w:rsidRDefault="00576885" w:rsidP="00576885">
      <w:pPr>
        <w:pStyle w:val="Heading2"/>
        <w:rPr>
          <w:b/>
          <w:sz w:val="32"/>
        </w:rPr>
      </w:pPr>
    </w:p>
    <w:p w:rsidR="00576885" w:rsidRPr="00576885" w:rsidRDefault="00576885" w:rsidP="00576885">
      <w:pPr>
        <w:pStyle w:val="Heading2"/>
        <w:spacing w:line="360" w:lineRule="auto"/>
        <w:ind w:left="-284"/>
        <w:jc w:val="both"/>
        <w:rPr>
          <w:b/>
          <w:sz w:val="32"/>
        </w:rPr>
      </w:pPr>
      <w:r>
        <w:t>Market Impact</w:t>
      </w:r>
    </w:p>
    <w:p w:rsidR="00576885" w:rsidRDefault="00576885" w:rsidP="00576885">
      <w:pPr>
        <w:pStyle w:val="NormalWeb"/>
        <w:numPr>
          <w:ilvl w:val="0"/>
          <w:numId w:val="34"/>
        </w:numPr>
        <w:spacing w:line="360" w:lineRule="auto"/>
        <w:jc w:val="both"/>
      </w:pPr>
      <w:r>
        <w:t>Delays reduced investor confidence in IPO launches.</w:t>
      </w:r>
    </w:p>
    <w:p w:rsidR="00576885" w:rsidRDefault="00576885" w:rsidP="00576885">
      <w:pPr>
        <w:pStyle w:val="NormalWeb"/>
        <w:numPr>
          <w:ilvl w:val="0"/>
          <w:numId w:val="34"/>
        </w:numPr>
        <w:spacing w:line="360" w:lineRule="auto"/>
        <w:jc w:val="both"/>
      </w:pPr>
      <w:r>
        <w:t xml:space="preserve">FB stock closed at </w:t>
      </w:r>
      <w:r>
        <w:rPr>
          <w:rStyle w:val="Strong"/>
        </w:rPr>
        <w:t>$38.23</w:t>
      </w:r>
      <w:r>
        <w:t xml:space="preserve"> on Day 1, barely above issue price.</w:t>
      </w:r>
    </w:p>
    <w:p w:rsidR="00576885" w:rsidRDefault="00576885" w:rsidP="00576885">
      <w:pPr>
        <w:pStyle w:val="Heading2"/>
        <w:spacing w:line="360" w:lineRule="auto"/>
        <w:ind w:left="-284"/>
        <w:jc w:val="both"/>
      </w:pPr>
      <w:r>
        <w:t>Financial Losses</w:t>
      </w:r>
    </w:p>
    <w:p w:rsidR="00576885" w:rsidRDefault="00576885" w:rsidP="00576885">
      <w:pPr>
        <w:pStyle w:val="NormalWeb"/>
        <w:numPr>
          <w:ilvl w:val="0"/>
          <w:numId w:val="35"/>
        </w:numPr>
        <w:spacing w:line="360" w:lineRule="auto"/>
        <w:jc w:val="both"/>
      </w:pPr>
      <w:r>
        <w:t>Estimated $500 million in investor losses.</w:t>
      </w:r>
    </w:p>
    <w:p w:rsidR="00576885" w:rsidRDefault="00576885" w:rsidP="00576885">
      <w:pPr>
        <w:pStyle w:val="NormalWeb"/>
        <w:numPr>
          <w:ilvl w:val="0"/>
          <w:numId w:val="35"/>
        </w:numPr>
        <w:spacing w:line="360" w:lineRule="auto"/>
        <w:jc w:val="both"/>
      </w:pPr>
      <w:r>
        <w:t xml:space="preserve">NASDAQ later agreed to a </w:t>
      </w:r>
      <w:r>
        <w:rPr>
          <w:rStyle w:val="Strong"/>
        </w:rPr>
        <w:t>$62 million compensation program</w:t>
      </w:r>
      <w:r>
        <w:t>.</w:t>
      </w:r>
    </w:p>
    <w:p w:rsidR="00576885" w:rsidRDefault="00576885" w:rsidP="00576885">
      <w:pPr>
        <w:pStyle w:val="Heading2"/>
        <w:spacing w:line="360" w:lineRule="auto"/>
        <w:ind w:left="-284"/>
        <w:jc w:val="both"/>
      </w:pPr>
      <w:r>
        <w:t>Reputational Damage</w:t>
      </w:r>
    </w:p>
    <w:p w:rsidR="00576885" w:rsidRDefault="00576885" w:rsidP="00576885">
      <w:pPr>
        <w:pStyle w:val="NormalWeb"/>
        <w:numPr>
          <w:ilvl w:val="0"/>
          <w:numId w:val="36"/>
        </w:numPr>
        <w:spacing w:line="360" w:lineRule="auto"/>
        <w:jc w:val="both"/>
      </w:pPr>
      <w:r>
        <w:t>Nasdaq’s credibility as a listing venue was questioned.</w:t>
      </w:r>
    </w:p>
    <w:p w:rsidR="00576885" w:rsidRDefault="00576885" w:rsidP="00576885">
      <w:pPr>
        <w:pStyle w:val="NormalWeb"/>
        <w:numPr>
          <w:ilvl w:val="0"/>
          <w:numId w:val="36"/>
        </w:numPr>
        <w:spacing w:line="360" w:lineRule="auto"/>
        <w:jc w:val="both"/>
      </w:pPr>
      <w:r>
        <w:t>Some IPOs considered NYSE instead.</w:t>
      </w:r>
    </w:p>
    <w:p w:rsidR="00576885" w:rsidRDefault="00576885" w:rsidP="00BE440A">
      <w:pPr>
        <w:pStyle w:val="Heading2"/>
        <w:ind w:left="-284" w:right="-291"/>
        <w:rPr>
          <w:b/>
          <w:sz w:val="40"/>
        </w:rPr>
      </w:pPr>
    </w:p>
    <w:p w:rsidR="00576885" w:rsidRDefault="00576885" w:rsidP="00BE440A">
      <w:pPr>
        <w:pStyle w:val="Heading2"/>
        <w:ind w:left="-284" w:right="-291"/>
        <w:rPr>
          <w:b/>
          <w:sz w:val="40"/>
        </w:rPr>
      </w:pPr>
    </w:p>
    <w:p w:rsidR="00576885" w:rsidRDefault="00576885" w:rsidP="00BE440A">
      <w:pPr>
        <w:pStyle w:val="Heading2"/>
        <w:ind w:left="-284" w:right="-291"/>
        <w:rPr>
          <w:b/>
          <w:sz w:val="40"/>
        </w:rPr>
      </w:pPr>
    </w:p>
    <w:p w:rsidR="00576885" w:rsidRDefault="00576885" w:rsidP="00BE440A">
      <w:pPr>
        <w:pStyle w:val="Heading2"/>
        <w:ind w:left="-284" w:right="-291"/>
        <w:rPr>
          <w:b/>
          <w:sz w:val="40"/>
        </w:rPr>
      </w:pPr>
    </w:p>
    <w:p w:rsidR="00576885" w:rsidRDefault="00576885" w:rsidP="00BE440A">
      <w:pPr>
        <w:pStyle w:val="Heading2"/>
        <w:ind w:left="-284" w:right="-291"/>
        <w:rPr>
          <w:b/>
          <w:sz w:val="40"/>
        </w:rPr>
      </w:pPr>
    </w:p>
    <w:p w:rsidR="00576885" w:rsidRDefault="00576885" w:rsidP="00BE440A">
      <w:pPr>
        <w:pStyle w:val="Heading2"/>
        <w:ind w:left="-284" w:right="-291"/>
        <w:rPr>
          <w:b/>
          <w:sz w:val="40"/>
        </w:rPr>
      </w:pPr>
    </w:p>
    <w:p w:rsidR="00576885" w:rsidRDefault="00576885" w:rsidP="00576885">
      <w:pPr>
        <w:pStyle w:val="Heading2"/>
        <w:ind w:right="-291"/>
        <w:rPr>
          <w:b/>
          <w:sz w:val="40"/>
        </w:rPr>
      </w:pPr>
    </w:p>
    <w:p w:rsidR="00576885" w:rsidRDefault="00576885" w:rsidP="00576885"/>
    <w:p w:rsidR="00576885" w:rsidRPr="00576885" w:rsidRDefault="00576885" w:rsidP="00576885"/>
    <w:p w:rsidR="00BE440A" w:rsidRPr="008C5A55" w:rsidRDefault="00BE440A" w:rsidP="00BE440A">
      <w:pPr>
        <w:pStyle w:val="Heading2"/>
        <w:ind w:left="-284" w:right="-291"/>
        <w:rPr>
          <w:b/>
          <w:sz w:val="32"/>
          <w:u w:val="single"/>
        </w:rPr>
      </w:pPr>
      <w:r w:rsidRPr="008C5A55">
        <w:rPr>
          <w:b/>
          <w:sz w:val="40"/>
          <w:u w:val="single"/>
        </w:rPr>
        <w:lastRenderedPageBreak/>
        <w:t>201</w:t>
      </w:r>
      <w:r w:rsidR="00576885" w:rsidRPr="008C5A55">
        <w:rPr>
          <w:b/>
          <w:sz w:val="40"/>
          <w:u w:val="single"/>
        </w:rPr>
        <w:t>2</w:t>
      </w:r>
      <w:r w:rsidRPr="008C5A55">
        <w:rPr>
          <w:b/>
          <w:sz w:val="32"/>
          <w:u w:val="single"/>
        </w:rPr>
        <w:t xml:space="preserve"> Remediation &amp; Compensation Program (Design Mechanics)</w:t>
      </w:r>
    </w:p>
    <w:p w:rsidR="00BE440A" w:rsidRDefault="00BE440A" w:rsidP="00BE440A">
      <w:pPr>
        <w:pStyle w:val="NormalWeb"/>
        <w:spacing w:line="360" w:lineRule="auto"/>
        <w:ind w:left="-284"/>
        <w:jc w:val="both"/>
      </w:pPr>
      <w:r>
        <w:rPr>
          <w:rStyle w:val="Strong"/>
        </w:rPr>
        <w:t>Member Accommodation Program (Compensation Pool)</w:t>
      </w:r>
    </w:p>
    <w:p w:rsidR="00BE440A" w:rsidRDefault="00BE440A" w:rsidP="00BE440A">
      <w:pPr>
        <w:pStyle w:val="NormalWeb"/>
        <w:numPr>
          <w:ilvl w:val="0"/>
          <w:numId w:val="27"/>
        </w:numPr>
        <w:spacing w:line="360" w:lineRule="auto"/>
        <w:jc w:val="both"/>
      </w:pPr>
      <w:r>
        <w:rPr>
          <w:rStyle w:val="Strong"/>
        </w:rPr>
        <w:t>Total pool cap:</w:t>
      </w:r>
      <w:r>
        <w:t xml:space="preserve"> $62 million.</w:t>
      </w:r>
    </w:p>
    <w:p w:rsidR="00BE440A" w:rsidRDefault="00BE440A" w:rsidP="00BE440A">
      <w:pPr>
        <w:pStyle w:val="NormalWeb"/>
        <w:numPr>
          <w:ilvl w:val="0"/>
          <w:numId w:val="27"/>
        </w:numPr>
        <w:spacing w:line="360" w:lineRule="auto"/>
        <w:ind w:right="-291"/>
        <w:jc w:val="both"/>
      </w:pPr>
      <w:r>
        <w:rPr>
          <w:rStyle w:val="Strong"/>
        </w:rPr>
        <w:t>Eligible claims:</w:t>
      </w:r>
      <w:r>
        <w:t xml:space="preserve"> Direct trading losses arising from specific categories of orders affected by the Cross malfunctions (defined, rule</w:t>
      </w:r>
      <w:r>
        <w:noBreakHyphen/>
        <w:t>bound scope).</w:t>
      </w:r>
    </w:p>
    <w:p w:rsidR="00BE440A" w:rsidRDefault="00BE440A" w:rsidP="00BE440A">
      <w:pPr>
        <w:pStyle w:val="NormalWeb"/>
        <w:numPr>
          <w:ilvl w:val="0"/>
          <w:numId w:val="27"/>
        </w:numPr>
        <w:spacing w:line="360" w:lineRule="auto"/>
        <w:ind w:right="-291"/>
        <w:jc w:val="both"/>
      </w:pPr>
      <w:r>
        <w:rPr>
          <w:rStyle w:val="Strong"/>
        </w:rPr>
        <w:t>Administration:</w:t>
      </w:r>
      <w:r>
        <w:t xml:space="preserve"> Claims validation and </w:t>
      </w:r>
      <w:proofErr w:type="spellStart"/>
      <w:r>
        <w:t>payout</w:t>
      </w:r>
      <w:proofErr w:type="spellEnd"/>
      <w:r>
        <w:t xml:space="preserve"> processing coordinated with industry SRO infrastructure.</w:t>
      </w:r>
    </w:p>
    <w:p w:rsidR="00BE440A" w:rsidRDefault="00BE440A" w:rsidP="00BE440A">
      <w:pPr>
        <w:pStyle w:val="NormalWeb"/>
        <w:spacing w:line="360" w:lineRule="auto"/>
        <w:ind w:left="-284"/>
        <w:jc w:val="both"/>
      </w:pPr>
      <w:r>
        <w:rPr>
          <w:rStyle w:val="Strong"/>
        </w:rPr>
        <w:t>Eligibility Waterfall (Build this in Excel)</w:t>
      </w:r>
    </w:p>
    <w:p w:rsidR="00BE440A" w:rsidRDefault="00BE440A" w:rsidP="00BE440A">
      <w:pPr>
        <w:pStyle w:val="NormalWeb"/>
        <w:numPr>
          <w:ilvl w:val="0"/>
          <w:numId w:val="28"/>
        </w:numPr>
        <w:spacing w:line="360" w:lineRule="auto"/>
        <w:ind w:right="-291"/>
        <w:jc w:val="both"/>
      </w:pPr>
      <w:r>
        <w:rPr>
          <w:rStyle w:val="Strong"/>
        </w:rPr>
        <w:t>Tier A — Pre</w:t>
      </w:r>
      <w:r>
        <w:rPr>
          <w:rStyle w:val="Strong"/>
        </w:rPr>
        <w:noBreakHyphen/>
        <w:t>Cross Sell Orders</w:t>
      </w:r>
      <w:r>
        <w:t>: Submitted within specific time windows but excluded from the Cross.</w:t>
      </w:r>
    </w:p>
    <w:p w:rsidR="00BE440A" w:rsidRDefault="00BE440A" w:rsidP="00BE440A">
      <w:pPr>
        <w:pStyle w:val="NormalWeb"/>
        <w:numPr>
          <w:ilvl w:val="0"/>
          <w:numId w:val="28"/>
        </w:numPr>
        <w:spacing w:line="360" w:lineRule="auto"/>
        <w:ind w:right="-291"/>
        <w:jc w:val="both"/>
      </w:pPr>
      <w:r>
        <w:rPr>
          <w:rStyle w:val="Strong"/>
        </w:rPr>
        <w:t>Tier B — Post</w:t>
      </w:r>
      <w:r>
        <w:rPr>
          <w:rStyle w:val="Strong"/>
        </w:rPr>
        <w:noBreakHyphen/>
        <w:t>Cross Priority Violations</w:t>
      </w:r>
      <w:r>
        <w:t>: Orders disadvantaged due to improper price/time priority relative to “stuck” orders.</w:t>
      </w:r>
    </w:p>
    <w:p w:rsidR="00BE440A" w:rsidRDefault="00BE440A" w:rsidP="00BE440A">
      <w:pPr>
        <w:pStyle w:val="NormalWeb"/>
        <w:numPr>
          <w:ilvl w:val="0"/>
          <w:numId w:val="28"/>
        </w:numPr>
        <w:spacing w:line="360" w:lineRule="auto"/>
        <w:ind w:right="-291"/>
        <w:jc w:val="both"/>
      </w:pPr>
      <w:r>
        <w:rPr>
          <w:rStyle w:val="Strong"/>
        </w:rPr>
        <w:t>Tier C — Late/Erroneous Confirms</w:t>
      </w:r>
      <w:r>
        <w:t>: Losses attributable to actionable decisions made under faulty/late feedback.</w:t>
      </w:r>
    </w:p>
    <w:p w:rsidR="00BE440A" w:rsidRDefault="00BE440A" w:rsidP="00BE440A">
      <w:pPr>
        <w:pStyle w:val="NormalWeb"/>
        <w:numPr>
          <w:ilvl w:val="0"/>
          <w:numId w:val="28"/>
        </w:numPr>
        <w:spacing w:line="360" w:lineRule="auto"/>
        <w:ind w:right="-291"/>
        <w:jc w:val="both"/>
      </w:pPr>
      <w:r>
        <w:rPr>
          <w:rStyle w:val="Strong"/>
        </w:rPr>
        <w:t>Tier D — Routing/Trade Reporting Anomalies</w:t>
      </w:r>
      <w:r>
        <w:t>: Direct losses from misroutes or unmatched prints.</w:t>
      </w:r>
    </w:p>
    <w:p w:rsidR="00BE440A" w:rsidRDefault="00BE440A" w:rsidP="00BE440A">
      <w:pPr>
        <w:pStyle w:val="NormalWeb"/>
        <w:spacing w:line="360" w:lineRule="auto"/>
        <w:ind w:left="-142"/>
        <w:jc w:val="both"/>
      </w:pPr>
      <w:r>
        <w:rPr>
          <w:rStyle w:val="Strong"/>
        </w:rPr>
        <w:t>Tranche Logic &amp; Pro</w:t>
      </w:r>
      <w:r>
        <w:rPr>
          <w:rStyle w:val="Strong"/>
        </w:rPr>
        <w:noBreakHyphen/>
        <w:t>Rata Rules</w:t>
      </w:r>
    </w:p>
    <w:p w:rsidR="00BE440A" w:rsidRDefault="00BE440A" w:rsidP="00BE440A">
      <w:pPr>
        <w:pStyle w:val="NormalWeb"/>
        <w:numPr>
          <w:ilvl w:val="0"/>
          <w:numId w:val="29"/>
        </w:numPr>
        <w:spacing w:line="360" w:lineRule="auto"/>
        <w:ind w:right="-291"/>
        <w:jc w:val="both"/>
      </w:pPr>
      <w:r>
        <w:t xml:space="preserve">Define </w:t>
      </w:r>
      <w:r>
        <w:rPr>
          <w:rStyle w:val="Strong"/>
        </w:rPr>
        <w:t>Tranche 1</w:t>
      </w:r>
      <w:r>
        <w:t xml:space="preserve"> and </w:t>
      </w:r>
      <w:r>
        <w:rPr>
          <w:rStyle w:val="Strong"/>
        </w:rPr>
        <w:t>Tranche 2</w:t>
      </w:r>
      <w:r>
        <w:t xml:space="preserve"> (e.g., initial and supplemental categories) with caps.</w:t>
      </w:r>
    </w:p>
    <w:p w:rsidR="00BE440A" w:rsidRDefault="00BE440A" w:rsidP="00BE440A">
      <w:pPr>
        <w:pStyle w:val="NormalWeb"/>
        <w:numPr>
          <w:ilvl w:val="0"/>
          <w:numId w:val="29"/>
        </w:numPr>
        <w:spacing w:line="360" w:lineRule="auto"/>
        <w:jc w:val="both"/>
      </w:pPr>
      <w:r>
        <w:t xml:space="preserve">If valid claims exceed the $62m pool, apply </w:t>
      </w:r>
      <w:r>
        <w:rPr>
          <w:rStyle w:val="Strong"/>
        </w:rPr>
        <w:t>pro</w:t>
      </w:r>
      <w:r>
        <w:rPr>
          <w:rStyle w:val="Strong"/>
        </w:rPr>
        <w:noBreakHyphen/>
        <w:t>rata</w:t>
      </w:r>
      <w:r>
        <w:t xml:space="preserve"> haircut; otherwise pay at par.</w:t>
      </w:r>
    </w:p>
    <w:p w:rsidR="00BE440A" w:rsidRDefault="00BE440A" w:rsidP="00576885">
      <w:pPr>
        <w:pStyle w:val="NormalWeb"/>
        <w:numPr>
          <w:ilvl w:val="0"/>
          <w:numId w:val="29"/>
        </w:numPr>
        <w:spacing w:line="360" w:lineRule="auto"/>
        <w:ind w:right="-291"/>
        <w:jc w:val="both"/>
      </w:pPr>
      <w:r>
        <w:t xml:space="preserve">Build an Excel </w:t>
      </w:r>
      <w:r>
        <w:rPr>
          <w:rStyle w:val="Strong"/>
        </w:rPr>
        <w:t>allocator</w:t>
      </w:r>
      <w:r>
        <w:t xml:space="preserve"> using </w:t>
      </w:r>
      <w:proofErr w:type="gramStart"/>
      <w:r>
        <w:rPr>
          <w:rStyle w:val="HTMLCode"/>
        </w:rPr>
        <w:t>MIN(</w:t>
      </w:r>
      <w:proofErr w:type="gramEnd"/>
      <w:r>
        <w:rPr>
          <w:rStyle w:val="HTMLCode"/>
        </w:rPr>
        <w:t>$62m, SUM(</w:t>
      </w:r>
      <w:proofErr w:type="spellStart"/>
      <w:r>
        <w:rPr>
          <w:rStyle w:val="HTMLCode"/>
        </w:rPr>
        <w:t>Valid_Claims</w:t>
      </w:r>
      <w:proofErr w:type="spellEnd"/>
      <w:r>
        <w:rPr>
          <w:rStyle w:val="HTMLCode"/>
        </w:rPr>
        <w:t>))</w:t>
      </w:r>
      <w:r>
        <w:t xml:space="preserve"> and pro</w:t>
      </w:r>
      <w:r>
        <w:noBreakHyphen/>
        <w:t>rata weights.</w:t>
      </w:r>
    </w:p>
    <w:p w:rsidR="00BE440A" w:rsidRDefault="00BE440A" w:rsidP="00BE440A">
      <w:pPr>
        <w:pStyle w:val="NormalWeb"/>
        <w:spacing w:line="360" w:lineRule="auto"/>
        <w:ind w:left="-142"/>
        <w:jc w:val="both"/>
      </w:pPr>
      <w:r>
        <w:rPr>
          <w:rStyle w:val="Strong"/>
        </w:rPr>
        <w:t>Timeline (2013)</w:t>
      </w:r>
    </w:p>
    <w:p w:rsidR="00BE440A" w:rsidRDefault="00BE440A" w:rsidP="00BE440A">
      <w:pPr>
        <w:pStyle w:val="NormalWeb"/>
        <w:numPr>
          <w:ilvl w:val="0"/>
          <w:numId w:val="30"/>
        </w:numPr>
        <w:spacing w:line="360" w:lineRule="auto"/>
        <w:ind w:right="-291"/>
        <w:jc w:val="both"/>
      </w:pPr>
      <w:r>
        <w:t xml:space="preserve">Regulatory approval of the compensation program and </w:t>
      </w:r>
      <w:r>
        <w:rPr>
          <w:rStyle w:val="Strong"/>
        </w:rPr>
        <w:t>imposition of a civil monetary penalty</w:t>
      </w:r>
      <w:r>
        <w:t xml:space="preserve"> in 2013.</w:t>
      </w:r>
    </w:p>
    <w:p w:rsidR="00BE440A" w:rsidRDefault="00BE440A" w:rsidP="00BE440A"/>
    <w:p w:rsidR="00576885" w:rsidRPr="008C5A55" w:rsidRDefault="00576885" w:rsidP="00576885">
      <w:pPr>
        <w:pStyle w:val="Heading2"/>
        <w:ind w:left="-284"/>
        <w:rPr>
          <w:b/>
          <w:sz w:val="32"/>
          <w:u w:val="single"/>
        </w:rPr>
      </w:pPr>
      <w:r w:rsidRPr="008C5A55">
        <w:rPr>
          <w:b/>
          <w:sz w:val="32"/>
          <w:u w:val="single"/>
        </w:rPr>
        <w:t>Regulatory &amp; Legal Response</w:t>
      </w:r>
    </w:p>
    <w:p w:rsidR="00576885" w:rsidRDefault="00576885" w:rsidP="008C5A55">
      <w:pPr>
        <w:pStyle w:val="NormalWeb"/>
        <w:numPr>
          <w:ilvl w:val="0"/>
          <w:numId w:val="41"/>
        </w:numPr>
        <w:spacing w:line="360" w:lineRule="auto"/>
        <w:ind w:left="709"/>
      </w:pPr>
      <w:r>
        <w:rPr>
          <w:rStyle w:val="Strong"/>
        </w:rPr>
        <w:t>SEC Review:</w:t>
      </w:r>
      <w:r>
        <w:t xml:space="preserve"> Investigated NASDAQ’s preparedness.</w:t>
      </w:r>
    </w:p>
    <w:p w:rsidR="00576885" w:rsidRDefault="00576885" w:rsidP="008C5A55">
      <w:pPr>
        <w:pStyle w:val="NormalWeb"/>
        <w:numPr>
          <w:ilvl w:val="0"/>
          <w:numId w:val="37"/>
        </w:numPr>
        <w:spacing w:line="360" w:lineRule="auto"/>
        <w:ind w:right="-291"/>
      </w:pPr>
      <w:r>
        <w:rPr>
          <w:rStyle w:val="Strong"/>
        </w:rPr>
        <w:t>Fines:</w:t>
      </w:r>
      <w:r>
        <w:t xml:space="preserve"> SEC charged NASDAQ $10 million (largest penalty for an exchange at that time).</w:t>
      </w:r>
    </w:p>
    <w:p w:rsidR="00576885" w:rsidRDefault="00576885" w:rsidP="008C5A55">
      <w:pPr>
        <w:pStyle w:val="NormalWeb"/>
        <w:numPr>
          <w:ilvl w:val="0"/>
          <w:numId w:val="37"/>
        </w:numPr>
        <w:spacing w:line="360" w:lineRule="auto"/>
      </w:pPr>
      <w:r>
        <w:rPr>
          <w:rStyle w:val="Strong"/>
        </w:rPr>
        <w:t>Remediation:</w:t>
      </w:r>
      <w:r>
        <w:t xml:space="preserve"> $62 million fund created for broker-dealers with valid claims.</w:t>
      </w:r>
    </w:p>
    <w:p w:rsidR="008C5A55" w:rsidRDefault="00576885" w:rsidP="008C5A55">
      <w:pPr>
        <w:pStyle w:val="NormalWeb"/>
        <w:numPr>
          <w:ilvl w:val="0"/>
          <w:numId w:val="37"/>
        </w:numPr>
        <w:spacing w:line="360" w:lineRule="auto"/>
      </w:pPr>
      <w:r>
        <w:rPr>
          <w:rStyle w:val="Strong"/>
        </w:rPr>
        <w:t>Compliance Gap Identified:</w:t>
      </w:r>
      <w:r>
        <w:t xml:space="preserve"> Insufficient testing for peak order volume.</w:t>
      </w:r>
    </w:p>
    <w:p w:rsidR="008C5A55" w:rsidRPr="008C5A55" w:rsidRDefault="008C5A55" w:rsidP="008C5A55">
      <w:pPr>
        <w:rPr>
          <w:lang w:val="en-IN" w:eastAsia="en-IN"/>
        </w:rPr>
      </w:pPr>
    </w:p>
    <w:p w:rsidR="00576885" w:rsidRPr="008C5A55" w:rsidRDefault="00576885" w:rsidP="008C5A55">
      <w:pPr>
        <w:pStyle w:val="Heading2"/>
        <w:ind w:left="-284"/>
        <w:rPr>
          <w:b/>
          <w:sz w:val="32"/>
          <w:u w:val="single"/>
        </w:rPr>
      </w:pPr>
      <w:r w:rsidRPr="008C5A55">
        <w:rPr>
          <w:b/>
          <w:sz w:val="32"/>
          <w:u w:val="single"/>
        </w:rPr>
        <w:t>Remediation &amp; Lessons Learned</w:t>
      </w:r>
    </w:p>
    <w:p w:rsidR="008C5A55" w:rsidRDefault="008C5A55" w:rsidP="008C5A55">
      <w:pPr>
        <w:pStyle w:val="Heading3"/>
        <w:spacing w:line="360" w:lineRule="auto"/>
      </w:pPr>
    </w:p>
    <w:p w:rsidR="00576885" w:rsidRDefault="00576885" w:rsidP="008C5A55">
      <w:pPr>
        <w:pStyle w:val="Heading3"/>
        <w:numPr>
          <w:ilvl w:val="0"/>
          <w:numId w:val="42"/>
        </w:numPr>
        <w:spacing w:line="360" w:lineRule="auto"/>
      </w:pPr>
      <w:r>
        <w:t>Technical Fixes</w:t>
      </w:r>
    </w:p>
    <w:p w:rsidR="00576885" w:rsidRDefault="00576885" w:rsidP="008C5A55">
      <w:pPr>
        <w:pStyle w:val="NormalWeb"/>
        <w:numPr>
          <w:ilvl w:val="0"/>
          <w:numId w:val="38"/>
        </w:numPr>
        <w:spacing w:line="360" w:lineRule="auto"/>
      </w:pPr>
      <w:r>
        <w:t>Improved IPO Cross matching algorithm.</w:t>
      </w:r>
    </w:p>
    <w:p w:rsidR="00576885" w:rsidRDefault="00576885" w:rsidP="008C5A55">
      <w:pPr>
        <w:pStyle w:val="NormalWeb"/>
        <w:numPr>
          <w:ilvl w:val="0"/>
          <w:numId w:val="38"/>
        </w:numPr>
        <w:spacing w:line="360" w:lineRule="auto"/>
      </w:pPr>
      <w:r>
        <w:t>Enhanced pre-IPO stress testing.</w:t>
      </w:r>
    </w:p>
    <w:p w:rsidR="00576885" w:rsidRDefault="00576885" w:rsidP="008C5A55">
      <w:pPr>
        <w:pStyle w:val="Heading3"/>
        <w:numPr>
          <w:ilvl w:val="0"/>
          <w:numId w:val="42"/>
        </w:numPr>
        <w:spacing w:line="360" w:lineRule="auto"/>
      </w:pPr>
      <w:r>
        <w:t>Operational Lessons</w:t>
      </w:r>
    </w:p>
    <w:p w:rsidR="00576885" w:rsidRDefault="00576885" w:rsidP="008C5A55">
      <w:pPr>
        <w:pStyle w:val="NormalWeb"/>
        <w:numPr>
          <w:ilvl w:val="0"/>
          <w:numId w:val="39"/>
        </w:numPr>
        <w:spacing w:line="360" w:lineRule="auto"/>
      </w:pPr>
      <w:r>
        <w:t>Need for robust reconciliation dashboards.</w:t>
      </w:r>
    </w:p>
    <w:p w:rsidR="00576885" w:rsidRDefault="00576885" w:rsidP="008C5A55">
      <w:pPr>
        <w:pStyle w:val="NormalWeb"/>
        <w:numPr>
          <w:ilvl w:val="0"/>
          <w:numId w:val="39"/>
        </w:numPr>
        <w:spacing w:line="360" w:lineRule="auto"/>
      </w:pPr>
      <w:r>
        <w:t>Faster exception management escalation.</w:t>
      </w:r>
    </w:p>
    <w:p w:rsidR="00576885" w:rsidRDefault="00576885" w:rsidP="008C5A55">
      <w:pPr>
        <w:pStyle w:val="Heading3"/>
        <w:numPr>
          <w:ilvl w:val="0"/>
          <w:numId w:val="42"/>
        </w:numPr>
        <w:spacing w:line="360" w:lineRule="auto"/>
      </w:pPr>
      <w:r>
        <w:t>Analyst Perspective (Excel Skills)</w:t>
      </w:r>
    </w:p>
    <w:p w:rsidR="00576885" w:rsidRDefault="00576885" w:rsidP="008C5A55">
      <w:pPr>
        <w:pStyle w:val="NormalWeb"/>
        <w:numPr>
          <w:ilvl w:val="0"/>
          <w:numId w:val="40"/>
        </w:numPr>
        <w:spacing w:line="360" w:lineRule="auto"/>
      </w:pPr>
      <w:r>
        <w:t>Excel can replicate order-book stress scenarios.</w:t>
      </w:r>
    </w:p>
    <w:p w:rsidR="00576885" w:rsidRDefault="00576885" w:rsidP="008C5A55">
      <w:pPr>
        <w:pStyle w:val="NormalWeb"/>
        <w:numPr>
          <w:ilvl w:val="0"/>
          <w:numId w:val="40"/>
        </w:numPr>
        <w:spacing w:line="360" w:lineRule="auto"/>
      </w:pPr>
      <w:r>
        <w:t>Excel dashboards help visualize latency and mismatches in real time.</w:t>
      </w:r>
    </w:p>
    <w:p w:rsidR="00BE440A" w:rsidRDefault="00BE440A" w:rsidP="00BE440A"/>
    <w:p w:rsidR="00460BD6" w:rsidRDefault="00460BD6" w:rsidP="00BE440A"/>
    <w:p w:rsidR="00460BD6" w:rsidRPr="00460BD6" w:rsidRDefault="00460BD6" w:rsidP="00460BD6">
      <w:pPr>
        <w:pStyle w:val="Heading2"/>
        <w:ind w:left="-284"/>
      </w:pPr>
      <w:r w:rsidRPr="00460BD6">
        <w:rPr>
          <w:rStyle w:val="Strong"/>
          <w:bCs w:val="0"/>
          <w:sz w:val="32"/>
        </w:rPr>
        <w:lastRenderedPageBreak/>
        <w:t>Risk Severity Heatmap Across Process Stages</w:t>
      </w:r>
    </w:p>
    <w:p w:rsidR="00460BD6" w:rsidRDefault="00460BD6" w:rsidP="003E374B">
      <w:pPr>
        <w:pStyle w:val="NormalWeb"/>
        <w:spacing w:line="360" w:lineRule="auto"/>
        <w:ind w:left="-284" w:right="-291"/>
      </w:pPr>
      <w:r>
        <w:t xml:space="preserve">In Excel, you can build a </w:t>
      </w:r>
      <w:r>
        <w:rPr>
          <w:rStyle w:val="Strong"/>
        </w:rPr>
        <w:t>matrix table</w:t>
      </w:r>
      <w:r>
        <w:t xml:space="preserve"> with </w:t>
      </w:r>
      <w:r>
        <w:rPr>
          <w:rStyle w:val="Strong"/>
        </w:rPr>
        <w:t>conditional formatting (</w:t>
      </w:r>
      <w:proofErr w:type="spellStart"/>
      <w:r>
        <w:rPr>
          <w:rStyle w:val="Strong"/>
        </w:rPr>
        <w:t>color</w:t>
      </w:r>
      <w:proofErr w:type="spellEnd"/>
      <w:r>
        <w:rPr>
          <w:rStyle w:val="Strong"/>
        </w:rPr>
        <w:t xml:space="preserve"> scale)</w:t>
      </w:r>
      <w:r>
        <w:t xml:space="preserve"> to visually show risk severity at each stage of the IPO order lifecycle.</w:t>
      </w:r>
    </w:p>
    <w:tbl>
      <w:tblPr>
        <w:tblStyle w:val="GridTable6Colorful-Accent4"/>
        <w:tblW w:w="9356" w:type="dxa"/>
        <w:tblInd w:w="-289" w:type="dxa"/>
        <w:tblLook w:val="04A0" w:firstRow="1" w:lastRow="0" w:firstColumn="1" w:lastColumn="0" w:noHBand="0" w:noVBand="1"/>
      </w:tblPr>
      <w:tblGrid>
        <w:gridCol w:w="4395"/>
        <w:gridCol w:w="4961"/>
      </w:tblGrid>
      <w:tr w:rsidR="00460BD6" w:rsidRPr="00460BD6" w:rsidTr="003E374B">
        <w:trPr>
          <w:cnfStyle w:val="100000000000" w:firstRow="1" w:lastRow="0" w:firstColumn="0" w:lastColumn="0" w:oddVBand="0" w:evenVBand="0" w:oddHBand="0"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4395" w:type="dxa"/>
            <w:hideMark/>
          </w:tcPr>
          <w:p w:rsidR="00460BD6" w:rsidRPr="00460BD6" w:rsidRDefault="00460BD6">
            <w:pPr>
              <w:jc w:val="center"/>
            </w:pPr>
            <w:r w:rsidRPr="00460BD6">
              <w:rPr>
                <w:rStyle w:val="Strong"/>
              </w:rPr>
              <w:t>Process Stage</w:t>
            </w:r>
          </w:p>
        </w:tc>
        <w:tc>
          <w:tcPr>
            <w:tcW w:w="4961" w:type="dxa"/>
            <w:hideMark/>
          </w:tcPr>
          <w:p w:rsidR="00460BD6" w:rsidRPr="00460BD6" w:rsidRDefault="00460BD6">
            <w:pPr>
              <w:jc w:val="center"/>
              <w:cnfStyle w:val="100000000000" w:firstRow="1" w:lastRow="0" w:firstColumn="0" w:lastColumn="0" w:oddVBand="0" w:evenVBand="0" w:oddHBand="0" w:evenHBand="0" w:firstRowFirstColumn="0" w:firstRowLastColumn="0" w:lastRowFirstColumn="0" w:lastRowLastColumn="0"/>
              <w:rPr>
                <w:b w:val="0"/>
                <w:bCs w:val="0"/>
              </w:rPr>
            </w:pPr>
            <w:r w:rsidRPr="00460BD6">
              <w:rPr>
                <w:rStyle w:val="Strong"/>
              </w:rPr>
              <w:t>Risk Severity</w:t>
            </w:r>
          </w:p>
        </w:tc>
      </w:tr>
      <w:tr w:rsidR="00460BD6" w:rsidRPr="00460BD6" w:rsidTr="003E374B">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4395" w:type="dxa"/>
            <w:hideMark/>
          </w:tcPr>
          <w:p w:rsidR="00460BD6" w:rsidRPr="00460BD6" w:rsidRDefault="00460BD6">
            <w:pPr>
              <w:rPr>
                <w:b w:val="0"/>
                <w:bCs w:val="0"/>
              </w:rPr>
            </w:pPr>
            <w:r w:rsidRPr="00460BD6">
              <w:t>Order Entry</w:t>
            </w:r>
          </w:p>
        </w:tc>
        <w:tc>
          <w:tcPr>
            <w:tcW w:w="4961" w:type="dxa"/>
            <w:hideMark/>
          </w:tcPr>
          <w:p w:rsidR="00460BD6" w:rsidRPr="00460BD6" w:rsidRDefault="00460BD6">
            <w:pPr>
              <w:cnfStyle w:val="000000100000" w:firstRow="0" w:lastRow="0" w:firstColumn="0" w:lastColumn="0" w:oddVBand="0" w:evenVBand="0" w:oddHBand="1" w:evenHBand="0" w:firstRowFirstColumn="0" w:firstRowLastColumn="0" w:lastRowFirstColumn="0" w:lastRowLastColumn="0"/>
            </w:pPr>
            <w:r w:rsidRPr="00460BD6">
              <w:t>High (Delays)</w:t>
            </w:r>
          </w:p>
        </w:tc>
      </w:tr>
      <w:tr w:rsidR="00460BD6" w:rsidRPr="00460BD6" w:rsidTr="003E374B">
        <w:trPr>
          <w:trHeight w:val="474"/>
        </w:trPr>
        <w:tc>
          <w:tcPr>
            <w:cnfStyle w:val="001000000000" w:firstRow="0" w:lastRow="0" w:firstColumn="1" w:lastColumn="0" w:oddVBand="0" w:evenVBand="0" w:oddHBand="0" w:evenHBand="0" w:firstRowFirstColumn="0" w:firstRowLastColumn="0" w:lastRowFirstColumn="0" w:lastRowLastColumn="0"/>
            <w:tcW w:w="4395" w:type="dxa"/>
            <w:hideMark/>
          </w:tcPr>
          <w:p w:rsidR="00460BD6" w:rsidRPr="00460BD6" w:rsidRDefault="00460BD6">
            <w:r w:rsidRPr="00460BD6">
              <w:t>Matching Engine</w:t>
            </w:r>
          </w:p>
        </w:tc>
        <w:tc>
          <w:tcPr>
            <w:tcW w:w="4961" w:type="dxa"/>
            <w:hideMark/>
          </w:tcPr>
          <w:p w:rsidR="00460BD6" w:rsidRPr="00460BD6" w:rsidRDefault="00460BD6">
            <w:pPr>
              <w:cnfStyle w:val="000000000000" w:firstRow="0" w:lastRow="0" w:firstColumn="0" w:lastColumn="0" w:oddVBand="0" w:evenVBand="0" w:oddHBand="0" w:evenHBand="0" w:firstRowFirstColumn="0" w:firstRowLastColumn="0" w:lastRowFirstColumn="0" w:lastRowLastColumn="0"/>
            </w:pPr>
            <w:r w:rsidRPr="00460BD6">
              <w:t>Critical (Priority Errors)</w:t>
            </w:r>
          </w:p>
        </w:tc>
      </w:tr>
      <w:tr w:rsidR="00460BD6" w:rsidRPr="00460BD6" w:rsidTr="003E374B">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4395" w:type="dxa"/>
            <w:hideMark/>
          </w:tcPr>
          <w:p w:rsidR="00460BD6" w:rsidRPr="00460BD6" w:rsidRDefault="00460BD6">
            <w:r w:rsidRPr="00460BD6">
              <w:t>Trade Reporting</w:t>
            </w:r>
          </w:p>
        </w:tc>
        <w:tc>
          <w:tcPr>
            <w:tcW w:w="4961" w:type="dxa"/>
            <w:hideMark/>
          </w:tcPr>
          <w:p w:rsidR="00460BD6" w:rsidRPr="00460BD6" w:rsidRDefault="00460BD6">
            <w:pPr>
              <w:cnfStyle w:val="000000100000" w:firstRow="0" w:lastRow="0" w:firstColumn="0" w:lastColumn="0" w:oddVBand="0" w:evenVBand="0" w:oddHBand="1" w:evenHBand="0" w:firstRowFirstColumn="0" w:firstRowLastColumn="0" w:lastRowFirstColumn="0" w:lastRowLastColumn="0"/>
            </w:pPr>
            <w:r w:rsidRPr="00460BD6">
              <w:t>High (Mismatches)</w:t>
            </w:r>
          </w:p>
        </w:tc>
      </w:tr>
      <w:tr w:rsidR="00460BD6" w:rsidTr="003E374B">
        <w:trPr>
          <w:trHeight w:val="474"/>
        </w:trPr>
        <w:tc>
          <w:tcPr>
            <w:cnfStyle w:val="001000000000" w:firstRow="0" w:lastRow="0" w:firstColumn="1" w:lastColumn="0" w:oddVBand="0" w:evenVBand="0" w:oddHBand="0" w:evenHBand="0" w:firstRowFirstColumn="0" w:firstRowLastColumn="0" w:lastRowFirstColumn="0" w:lastRowLastColumn="0"/>
            <w:tcW w:w="4395" w:type="dxa"/>
            <w:hideMark/>
          </w:tcPr>
          <w:p w:rsidR="00460BD6" w:rsidRPr="00460BD6" w:rsidRDefault="00460BD6">
            <w:r w:rsidRPr="00460BD6">
              <w:t>Settlement</w:t>
            </w:r>
          </w:p>
        </w:tc>
        <w:tc>
          <w:tcPr>
            <w:tcW w:w="4961" w:type="dxa"/>
            <w:hideMark/>
          </w:tcPr>
          <w:p w:rsidR="00460BD6" w:rsidRPr="00460BD6" w:rsidRDefault="00460BD6">
            <w:pPr>
              <w:cnfStyle w:val="000000000000" w:firstRow="0" w:lastRow="0" w:firstColumn="0" w:lastColumn="0" w:oddVBand="0" w:evenVBand="0" w:oddHBand="0" w:evenHBand="0" w:firstRowFirstColumn="0" w:firstRowLastColumn="0" w:lastRowFirstColumn="0" w:lastRowLastColumn="0"/>
            </w:pPr>
            <w:r w:rsidRPr="00460BD6">
              <w:t>Medium (Breaks)</w:t>
            </w:r>
          </w:p>
        </w:tc>
      </w:tr>
    </w:tbl>
    <w:p w:rsidR="00460BD6" w:rsidRDefault="003E374B" w:rsidP="003E374B">
      <w:pPr>
        <w:pStyle w:val="NormalWeb"/>
        <w:numPr>
          <w:ilvl w:val="0"/>
          <w:numId w:val="41"/>
        </w:numPr>
        <w:spacing w:line="360" w:lineRule="auto"/>
      </w:pPr>
      <w:r>
        <w:t>A</w:t>
      </w:r>
      <w:r w:rsidR="00460BD6">
        <w:t xml:space="preserve">pply </w:t>
      </w:r>
      <w:r w:rsidR="00460BD6">
        <w:rPr>
          <w:rStyle w:val="Strong"/>
        </w:rPr>
        <w:t>red fill</w:t>
      </w:r>
      <w:r w:rsidR="00460BD6">
        <w:t xml:space="preserve"> for “Critical,” </w:t>
      </w:r>
      <w:r w:rsidR="00460BD6">
        <w:rPr>
          <w:rStyle w:val="Strong"/>
        </w:rPr>
        <w:t>orange</w:t>
      </w:r>
      <w:r w:rsidR="00460BD6">
        <w:t xml:space="preserve"> for “High,” and </w:t>
      </w:r>
      <w:r w:rsidR="00460BD6">
        <w:rPr>
          <w:rStyle w:val="Strong"/>
        </w:rPr>
        <w:t>yellow</w:t>
      </w:r>
      <w:r w:rsidR="00460BD6">
        <w:t xml:space="preserve"> for “Medium.”</w:t>
      </w:r>
    </w:p>
    <w:p w:rsidR="008C5A55" w:rsidRDefault="00460BD6" w:rsidP="003E374B">
      <w:pPr>
        <w:pStyle w:val="NormalWeb"/>
        <w:numPr>
          <w:ilvl w:val="0"/>
          <w:numId w:val="46"/>
        </w:numPr>
        <w:spacing w:line="360" w:lineRule="auto"/>
      </w:pPr>
      <w:r>
        <w:t xml:space="preserve">You can also represent this in a </w:t>
      </w:r>
      <w:r>
        <w:rPr>
          <w:rStyle w:val="Strong"/>
        </w:rPr>
        <w:t>2D heatmap</w:t>
      </w:r>
      <w:r>
        <w:t xml:space="preserve"> with stages on X-axis and severity levels on Y-axis, highlighting “critical” as darkest red.</w:t>
      </w:r>
    </w:p>
    <w:p w:rsidR="003E374B" w:rsidRDefault="003E374B" w:rsidP="003E374B">
      <w:pPr>
        <w:pStyle w:val="NormalWeb"/>
        <w:spacing w:line="360" w:lineRule="auto"/>
        <w:ind w:left="720"/>
      </w:pPr>
    </w:p>
    <w:p w:rsidR="00460BD6" w:rsidRPr="00460BD6" w:rsidRDefault="00460BD6" w:rsidP="00460BD6">
      <w:pPr>
        <w:pStyle w:val="Heading2"/>
        <w:ind w:left="-284"/>
        <w:rPr>
          <w:b/>
          <w:sz w:val="32"/>
          <w:u w:val="single"/>
        </w:rPr>
      </w:pPr>
      <w:r w:rsidRPr="00460BD6">
        <w:rPr>
          <w:b/>
          <w:sz w:val="32"/>
          <w:u w:val="single"/>
        </w:rPr>
        <w:t>Key Takeaways for Analysts</w:t>
      </w:r>
    </w:p>
    <w:p w:rsidR="00460BD6" w:rsidRDefault="00460BD6" w:rsidP="00460BD6">
      <w:pPr>
        <w:pStyle w:val="NormalWeb"/>
        <w:numPr>
          <w:ilvl w:val="0"/>
          <w:numId w:val="43"/>
        </w:numPr>
        <w:spacing w:line="360" w:lineRule="auto"/>
      </w:pPr>
      <w:r>
        <w:rPr>
          <w:rStyle w:val="Strong"/>
        </w:rPr>
        <w:t>Excel is not just a spreadsheet tool</w:t>
      </w:r>
      <w:r>
        <w:t xml:space="preserve"> — it becomes an investigative framework.</w:t>
      </w:r>
    </w:p>
    <w:p w:rsidR="00460BD6" w:rsidRDefault="00460BD6" w:rsidP="00460BD6">
      <w:pPr>
        <w:pStyle w:val="NormalWeb"/>
        <w:numPr>
          <w:ilvl w:val="0"/>
          <w:numId w:val="43"/>
        </w:numPr>
        <w:spacing w:line="360" w:lineRule="auto"/>
      </w:pPr>
      <w:r>
        <w:t>Event reconstruction, anomaly detection, and reconciliation are feasible with structured Excel analysis.</w:t>
      </w:r>
    </w:p>
    <w:p w:rsidR="00460BD6" w:rsidRDefault="00460BD6" w:rsidP="00460BD6">
      <w:pPr>
        <w:pStyle w:val="NormalWeb"/>
        <w:numPr>
          <w:ilvl w:val="0"/>
          <w:numId w:val="43"/>
        </w:numPr>
        <w:spacing w:line="360" w:lineRule="auto"/>
      </w:pPr>
      <w:r>
        <w:t>Proactive monitoring could have reduced losses and reputational risk.</w:t>
      </w:r>
    </w:p>
    <w:p w:rsidR="003E374B" w:rsidRDefault="003E374B" w:rsidP="003E374B">
      <w:pPr>
        <w:pStyle w:val="NormalWeb"/>
        <w:spacing w:line="360" w:lineRule="auto"/>
        <w:ind w:left="720"/>
      </w:pPr>
    </w:p>
    <w:p w:rsidR="00460BD6" w:rsidRPr="00460BD6" w:rsidRDefault="00460BD6" w:rsidP="00460BD6">
      <w:pPr>
        <w:pStyle w:val="Heading2"/>
        <w:ind w:left="-284"/>
        <w:rPr>
          <w:b/>
          <w:sz w:val="32"/>
          <w:u w:val="single"/>
        </w:rPr>
      </w:pPr>
      <w:r w:rsidRPr="00460BD6">
        <w:rPr>
          <w:b/>
          <w:sz w:val="32"/>
          <w:u w:val="single"/>
        </w:rPr>
        <w:t>Conclusion</w:t>
      </w:r>
    </w:p>
    <w:p w:rsidR="00460BD6" w:rsidRDefault="00460BD6" w:rsidP="003E374B">
      <w:pPr>
        <w:pStyle w:val="NormalWeb"/>
        <w:spacing w:line="360" w:lineRule="auto"/>
        <w:ind w:left="-284" w:right="-291"/>
        <w:jc w:val="both"/>
      </w:pPr>
      <w:r>
        <w:t>The Facebook IPO case underscores how technology failures in trading systems can cascade into massive settlement and reputational risks. For analysts, Excel remains a critical tool to replicate event flows, visualize data, and support decision-making in both real time and post-event forensic analysis.</w:t>
      </w:r>
      <w:bookmarkStart w:id="5" w:name="_GoBack"/>
      <w:bookmarkEnd w:id="5"/>
    </w:p>
    <w:p w:rsidR="00460BD6" w:rsidRDefault="00460BD6" w:rsidP="00460BD6">
      <w:pPr>
        <w:pStyle w:val="NormalWeb"/>
        <w:spacing w:line="360" w:lineRule="auto"/>
      </w:pPr>
    </w:p>
    <w:p w:rsidR="00460BD6" w:rsidRPr="00460BD6" w:rsidRDefault="00460BD6" w:rsidP="00460BD6">
      <w:pPr>
        <w:pStyle w:val="Heading2"/>
        <w:spacing w:line="360" w:lineRule="auto"/>
        <w:rPr>
          <w:b/>
          <w:sz w:val="32"/>
          <w:u w:val="single"/>
        </w:rPr>
      </w:pPr>
      <w:r w:rsidRPr="00460BD6">
        <w:rPr>
          <w:b/>
          <w:sz w:val="32"/>
          <w:u w:val="single"/>
        </w:rPr>
        <w:t>References</w:t>
      </w:r>
    </w:p>
    <w:p w:rsidR="00460BD6" w:rsidRDefault="00460BD6" w:rsidP="00460BD6">
      <w:pPr>
        <w:pStyle w:val="NormalWeb"/>
        <w:numPr>
          <w:ilvl w:val="0"/>
          <w:numId w:val="45"/>
        </w:numPr>
        <w:spacing w:line="360" w:lineRule="auto"/>
      </w:pPr>
      <w:r>
        <w:t>SEC Release: “SEC Charges NASDAQ with Securities Laws Violations” (2013).</w:t>
      </w:r>
    </w:p>
    <w:p w:rsidR="00460BD6" w:rsidRDefault="00460BD6" w:rsidP="00460BD6">
      <w:pPr>
        <w:pStyle w:val="NormalWeb"/>
        <w:numPr>
          <w:ilvl w:val="0"/>
          <w:numId w:val="45"/>
        </w:numPr>
        <w:spacing w:line="360" w:lineRule="auto"/>
      </w:pPr>
      <w:r>
        <w:t>NASDAQ Remediation Plan, 2012.</w:t>
      </w:r>
    </w:p>
    <w:p w:rsidR="00460BD6" w:rsidRDefault="00460BD6" w:rsidP="00460BD6">
      <w:pPr>
        <w:pStyle w:val="NormalWeb"/>
        <w:numPr>
          <w:ilvl w:val="0"/>
          <w:numId w:val="45"/>
        </w:numPr>
        <w:spacing w:line="360" w:lineRule="auto"/>
      </w:pPr>
      <w:r>
        <w:t>Financial press coverage: Bloomberg, WSJ, Reuters.</w:t>
      </w:r>
    </w:p>
    <w:p w:rsidR="008C5A55" w:rsidRDefault="008C5A55" w:rsidP="008C5A55">
      <w:pPr>
        <w:pStyle w:val="NormalWeb"/>
        <w:spacing w:line="360" w:lineRule="auto"/>
        <w:ind w:left="-284"/>
        <w:jc w:val="both"/>
      </w:pPr>
    </w:p>
    <w:p w:rsidR="008C5A55" w:rsidRDefault="008C5A55" w:rsidP="008C5A55">
      <w:pPr>
        <w:pStyle w:val="NormalWeb"/>
        <w:spacing w:line="360" w:lineRule="auto"/>
        <w:ind w:left="-284"/>
        <w:jc w:val="both"/>
      </w:pPr>
    </w:p>
    <w:p w:rsidR="008C5A55" w:rsidRDefault="008C5A55" w:rsidP="008C5A55">
      <w:pPr>
        <w:pStyle w:val="NormalWeb"/>
        <w:spacing w:line="360" w:lineRule="auto"/>
        <w:ind w:left="-284"/>
        <w:jc w:val="both"/>
      </w:pPr>
    </w:p>
    <w:p w:rsidR="008C5A55" w:rsidRDefault="008C5A55" w:rsidP="008C5A55">
      <w:pPr>
        <w:pStyle w:val="NormalWeb"/>
        <w:spacing w:line="360" w:lineRule="auto"/>
        <w:ind w:left="-284"/>
        <w:jc w:val="both"/>
      </w:pPr>
    </w:p>
    <w:p w:rsidR="00BE440A" w:rsidRDefault="00BE440A" w:rsidP="008C5A55">
      <w:pPr>
        <w:spacing w:line="360" w:lineRule="auto"/>
      </w:pPr>
    </w:p>
    <w:sectPr w:rsidR="00BE440A">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0A7" w:rsidRDefault="002070A7" w:rsidP="00C6554A">
      <w:pPr>
        <w:spacing w:before="0" w:after="0" w:line="240" w:lineRule="auto"/>
      </w:pPr>
      <w:r>
        <w:separator/>
      </w:r>
    </w:p>
  </w:endnote>
  <w:endnote w:type="continuationSeparator" w:id="0">
    <w:p w:rsidR="002070A7" w:rsidRDefault="002070A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3E374B">
      <w:rPr>
        <w:noProof/>
      </w:rPr>
      <w:t>10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0A7" w:rsidRDefault="002070A7" w:rsidP="00C6554A">
      <w:pPr>
        <w:spacing w:before="0" w:after="0" w:line="240" w:lineRule="auto"/>
      </w:pPr>
      <w:r>
        <w:separator/>
      </w:r>
    </w:p>
  </w:footnote>
  <w:footnote w:type="continuationSeparator" w:id="0">
    <w:p w:rsidR="002070A7" w:rsidRDefault="002070A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A46F56"/>
    <w:multiLevelType w:val="multilevel"/>
    <w:tmpl w:val="F6E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8F0493"/>
    <w:multiLevelType w:val="multilevel"/>
    <w:tmpl w:val="41D6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59247C"/>
    <w:multiLevelType w:val="multilevel"/>
    <w:tmpl w:val="9FAA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5C974C1"/>
    <w:multiLevelType w:val="multilevel"/>
    <w:tmpl w:val="DC0E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8524D"/>
    <w:multiLevelType w:val="multilevel"/>
    <w:tmpl w:val="4536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DE5F56"/>
    <w:multiLevelType w:val="multilevel"/>
    <w:tmpl w:val="8130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FB2D2D"/>
    <w:multiLevelType w:val="multilevel"/>
    <w:tmpl w:val="A89E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592159"/>
    <w:multiLevelType w:val="multilevel"/>
    <w:tmpl w:val="031A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6F0EC7"/>
    <w:multiLevelType w:val="hybridMultilevel"/>
    <w:tmpl w:val="57DE5D0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1" w15:restartNumberingAfterBreak="0">
    <w:nsid w:val="3BEE6B2D"/>
    <w:multiLevelType w:val="multilevel"/>
    <w:tmpl w:val="C7D6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F10CE"/>
    <w:multiLevelType w:val="hybridMultilevel"/>
    <w:tmpl w:val="BE7419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43B81DCD"/>
    <w:multiLevelType w:val="multilevel"/>
    <w:tmpl w:val="0708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B31576C"/>
    <w:multiLevelType w:val="multilevel"/>
    <w:tmpl w:val="2CBC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FB5437"/>
    <w:multiLevelType w:val="multilevel"/>
    <w:tmpl w:val="269A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E03A64"/>
    <w:multiLevelType w:val="multilevel"/>
    <w:tmpl w:val="C19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A673A9"/>
    <w:multiLevelType w:val="multilevel"/>
    <w:tmpl w:val="BBD4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893D27"/>
    <w:multiLevelType w:val="multilevel"/>
    <w:tmpl w:val="7798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F00583"/>
    <w:multiLevelType w:val="multilevel"/>
    <w:tmpl w:val="200C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CE31A6"/>
    <w:multiLevelType w:val="multilevel"/>
    <w:tmpl w:val="BCFA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6A1295"/>
    <w:multiLevelType w:val="multilevel"/>
    <w:tmpl w:val="25964B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495D84"/>
    <w:multiLevelType w:val="multilevel"/>
    <w:tmpl w:val="C2F0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1C6E4D"/>
    <w:multiLevelType w:val="multilevel"/>
    <w:tmpl w:val="96B2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BA6ABB"/>
    <w:multiLevelType w:val="multilevel"/>
    <w:tmpl w:val="AEA20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EA31D2"/>
    <w:multiLevelType w:val="multilevel"/>
    <w:tmpl w:val="F9B6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1B06EA"/>
    <w:multiLevelType w:val="multilevel"/>
    <w:tmpl w:val="BF28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F957B6"/>
    <w:multiLevelType w:val="multilevel"/>
    <w:tmpl w:val="37BE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5964A1"/>
    <w:multiLevelType w:val="hybridMultilevel"/>
    <w:tmpl w:val="75BE9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D76D99"/>
    <w:multiLevelType w:val="hybridMultilevel"/>
    <w:tmpl w:val="818C47DA"/>
    <w:lvl w:ilvl="0" w:tplc="06041BD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1" w15:restartNumberingAfterBreak="0">
    <w:nsid w:val="7CBE4849"/>
    <w:multiLevelType w:val="multilevel"/>
    <w:tmpl w:val="97D6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F5002F"/>
    <w:multiLevelType w:val="multilevel"/>
    <w:tmpl w:val="73700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4A06F4"/>
    <w:multiLevelType w:val="multilevel"/>
    <w:tmpl w:val="E598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42"/>
  </w:num>
  <w:num w:numId="17">
    <w:abstractNumId w:val="22"/>
  </w:num>
  <w:num w:numId="18">
    <w:abstractNumId w:val="31"/>
  </w:num>
  <w:num w:numId="19">
    <w:abstractNumId w:val="20"/>
  </w:num>
  <w:num w:numId="20">
    <w:abstractNumId w:val="19"/>
  </w:num>
  <w:num w:numId="21">
    <w:abstractNumId w:val="28"/>
  </w:num>
  <w:num w:numId="22">
    <w:abstractNumId w:val="38"/>
  </w:num>
  <w:num w:numId="23">
    <w:abstractNumId w:val="11"/>
  </w:num>
  <w:num w:numId="24">
    <w:abstractNumId w:val="26"/>
  </w:num>
  <w:num w:numId="25">
    <w:abstractNumId w:val="35"/>
  </w:num>
  <w:num w:numId="26">
    <w:abstractNumId w:val="34"/>
  </w:num>
  <w:num w:numId="27">
    <w:abstractNumId w:val="33"/>
  </w:num>
  <w:num w:numId="28">
    <w:abstractNumId w:val="30"/>
  </w:num>
  <w:num w:numId="29">
    <w:abstractNumId w:val="36"/>
  </w:num>
  <w:num w:numId="30">
    <w:abstractNumId w:val="21"/>
  </w:num>
  <w:num w:numId="31">
    <w:abstractNumId w:val="29"/>
  </w:num>
  <w:num w:numId="32">
    <w:abstractNumId w:val="41"/>
  </w:num>
  <w:num w:numId="33">
    <w:abstractNumId w:val="18"/>
  </w:num>
  <w:num w:numId="34">
    <w:abstractNumId w:val="15"/>
  </w:num>
  <w:num w:numId="35">
    <w:abstractNumId w:val="13"/>
  </w:num>
  <w:num w:numId="36">
    <w:abstractNumId w:val="17"/>
  </w:num>
  <w:num w:numId="37">
    <w:abstractNumId w:val="43"/>
  </w:num>
  <w:num w:numId="38">
    <w:abstractNumId w:val="37"/>
  </w:num>
  <w:num w:numId="39">
    <w:abstractNumId w:val="27"/>
  </w:num>
  <w:num w:numId="40">
    <w:abstractNumId w:val="12"/>
  </w:num>
  <w:num w:numId="41">
    <w:abstractNumId w:val="39"/>
  </w:num>
  <w:num w:numId="42">
    <w:abstractNumId w:val="40"/>
  </w:num>
  <w:num w:numId="43">
    <w:abstractNumId w:val="25"/>
  </w:num>
  <w:num w:numId="44">
    <w:abstractNumId w:val="23"/>
  </w:num>
  <w:num w:numId="45">
    <w:abstractNumId w:val="32"/>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954"/>
    <w:rsid w:val="000165AF"/>
    <w:rsid w:val="001150E2"/>
    <w:rsid w:val="001B7558"/>
    <w:rsid w:val="001E0593"/>
    <w:rsid w:val="001E47A4"/>
    <w:rsid w:val="002070A7"/>
    <w:rsid w:val="002554CD"/>
    <w:rsid w:val="00293B83"/>
    <w:rsid w:val="002B4294"/>
    <w:rsid w:val="00333D0D"/>
    <w:rsid w:val="003E374B"/>
    <w:rsid w:val="00460BD6"/>
    <w:rsid w:val="004B5702"/>
    <w:rsid w:val="004C049F"/>
    <w:rsid w:val="005000E2"/>
    <w:rsid w:val="005376EC"/>
    <w:rsid w:val="00576885"/>
    <w:rsid w:val="006719B1"/>
    <w:rsid w:val="006A3CE7"/>
    <w:rsid w:val="0079626C"/>
    <w:rsid w:val="008A0CE8"/>
    <w:rsid w:val="008C5A55"/>
    <w:rsid w:val="009058F5"/>
    <w:rsid w:val="00A31954"/>
    <w:rsid w:val="00B24151"/>
    <w:rsid w:val="00B32B0D"/>
    <w:rsid w:val="00B663A3"/>
    <w:rsid w:val="00BE440A"/>
    <w:rsid w:val="00C6554A"/>
    <w:rsid w:val="00CE2C7D"/>
    <w:rsid w:val="00D03FE6"/>
    <w:rsid w:val="00DF035A"/>
    <w:rsid w:val="00DF78F1"/>
    <w:rsid w:val="00ED7C44"/>
    <w:rsid w:val="00F14305"/>
    <w:rsid w:val="00F1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A74B7"/>
  <w15:chartTrackingRefBased/>
  <w15:docId w15:val="{6603D4B6-7110-4E31-9D56-4F4CB39CD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A31954"/>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A31954"/>
    <w:rPr>
      <w:b/>
      <w:bCs/>
    </w:rPr>
  </w:style>
  <w:style w:type="paragraph" w:styleId="ListParagraph">
    <w:name w:val="List Paragraph"/>
    <w:basedOn w:val="Normal"/>
    <w:uiPriority w:val="34"/>
    <w:unhideWhenUsed/>
    <w:qFormat/>
    <w:rsid w:val="001E47A4"/>
    <w:pPr>
      <w:ind w:left="720"/>
      <w:contextualSpacing/>
    </w:pPr>
  </w:style>
  <w:style w:type="table" w:styleId="PlainTable3">
    <w:name w:val="Plain Table 3"/>
    <w:basedOn w:val="TableNormal"/>
    <w:uiPriority w:val="43"/>
    <w:rsid w:val="00460B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Accent4">
    <w:name w:val="Grid Table 6 Colorful Accent 4"/>
    <w:basedOn w:val="TableNormal"/>
    <w:uiPriority w:val="51"/>
    <w:rsid w:val="00460BD6"/>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5797">
      <w:bodyDiv w:val="1"/>
      <w:marLeft w:val="0"/>
      <w:marRight w:val="0"/>
      <w:marTop w:val="0"/>
      <w:marBottom w:val="0"/>
      <w:divBdr>
        <w:top w:val="none" w:sz="0" w:space="0" w:color="auto"/>
        <w:left w:val="none" w:sz="0" w:space="0" w:color="auto"/>
        <w:bottom w:val="none" w:sz="0" w:space="0" w:color="auto"/>
        <w:right w:val="none" w:sz="0" w:space="0" w:color="auto"/>
      </w:divBdr>
    </w:div>
    <w:div w:id="200633935">
      <w:bodyDiv w:val="1"/>
      <w:marLeft w:val="0"/>
      <w:marRight w:val="0"/>
      <w:marTop w:val="0"/>
      <w:marBottom w:val="0"/>
      <w:divBdr>
        <w:top w:val="none" w:sz="0" w:space="0" w:color="auto"/>
        <w:left w:val="none" w:sz="0" w:space="0" w:color="auto"/>
        <w:bottom w:val="none" w:sz="0" w:space="0" w:color="auto"/>
        <w:right w:val="none" w:sz="0" w:space="0" w:color="auto"/>
      </w:divBdr>
      <w:divsChild>
        <w:div w:id="2062942868">
          <w:marLeft w:val="0"/>
          <w:marRight w:val="0"/>
          <w:marTop w:val="0"/>
          <w:marBottom w:val="0"/>
          <w:divBdr>
            <w:top w:val="none" w:sz="0" w:space="0" w:color="auto"/>
            <w:left w:val="none" w:sz="0" w:space="0" w:color="auto"/>
            <w:bottom w:val="none" w:sz="0" w:space="0" w:color="auto"/>
            <w:right w:val="none" w:sz="0" w:space="0" w:color="auto"/>
          </w:divBdr>
        </w:div>
        <w:div w:id="310260173">
          <w:marLeft w:val="0"/>
          <w:marRight w:val="0"/>
          <w:marTop w:val="0"/>
          <w:marBottom w:val="0"/>
          <w:divBdr>
            <w:top w:val="none" w:sz="0" w:space="0" w:color="auto"/>
            <w:left w:val="none" w:sz="0" w:space="0" w:color="auto"/>
            <w:bottom w:val="none" w:sz="0" w:space="0" w:color="auto"/>
            <w:right w:val="none" w:sz="0" w:space="0" w:color="auto"/>
          </w:divBdr>
        </w:div>
      </w:divsChild>
    </w:div>
    <w:div w:id="362752572">
      <w:bodyDiv w:val="1"/>
      <w:marLeft w:val="0"/>
      <w:marRight w:val="0"/>
      <w:marTop w:val="0"/>
      <w:marBottom w:val="0"/>
      <w:divBdr>
        <w:top w:val="none" w:sz="0" w:space="0" w:color="auto"/>
        <w:left w:val="none" w:sz="0" w:space="0" w:color="auto"/>
        <w:bottom w:val="none" w:sz="0" w:space="0" w:color="auto"/>
        <w:right w:val="none" w:sz="0" w:space="0" w:color="auto"/>
      </w:divBdr>
    </w:div>
    <w:div w:id="417334743">
      <w:bodyDiv w:val="1"/>
      <w:marLeft w:val="0"/>
      <w:marRight w:val="0"/>
      <w:marTop w:val="0"/>
      <w:marBottom w:val="0"/>
      <w:divBdr>
        <w:top w:val="none" w:sz="0" w:space="0" w:color="auto"/>
        <w:left w:val="none" w:sz="0" w:space="0" w:color="auto"/>
        <w:bottom w:val="none" w:sz="0" w:space="0" w:color="auto"/>
        <w:right w:val="none" w:sz="0" w:space="0" w:color="auto"/>
      </w:divBdr>
    </w:div>
    <w:div w:id="533539854">
      <w:bodyDiv w:val="1"/>
      <w:marLeft w:val="0"/>
      <w:marRight w:val="0"/>
      <w:marTop w:val="0"/>
      <w:marBottom w:val="0"/>
      <w:divBdr>
        <w:top w:val="none" w:sz="0" w:space="0" w:color="auto"/>
        <w:left w:val="none" w:sz="0" w:space="0" w:color="auto"/>
        <w:bottom w:val="none" w:sz="0" w:space="0" w:color="auto"/>
        <w:right w:val="none" w:sz="0" w:space="0" w:color="auto"/>
      </w:divBdr>
    </w:div>
    <w:div w:id="613901389">
      <w:bodyDiv w:val="1"/>
      <w:marLeft w:val="0"/>
      <w:marRight w:val="0"/>
      <w:marTop w:val="0"/>
      <w:marBottom w:val="0"/>
      <w:divBdr>
        <w:top w:val="none" w:sz="0" w:space="0" w:color="auto"/>
        <w:left w:val="none" w:sz="0" w:space="0" w:color="auto"/>
        <w:bottom w:val="none" w:sz="0" w:space="0" w:color="auto"/>
        <w:right w:val="none" w:sz="0" w:space="0" w:color="auto"/>
      </w:divBdr>
      <w:divsChild>
        <w:div w:id="120849733">
          <w:marLeft w:val="0"/>
          <w:marRight w:val="0"/>
          <w:marTop w:val="0"/>
          <w:marBottom w:val="0"/>
          <w:divBdr>
            <w:top w:val="none" w:sz="0" w:space="0" w:color="auto"/>
            <w:left w:val="none" w:sz="0" w:space="0" w:color="auto"/>
            <w:bottom w:val="none" w:sz="0" w:space="0" w:color="auto"/>
            <w:right w:val="none" w:sz="0" w:space="0" w:color="auto"/>
          </w:divBdr>
        </w:div>
      </w:divsChild>
    </w:div>
    <w:div w:id="758988711">
      <w:bodyDiv w:val="1"/>
      <w:marLeft w:val="0"/>
      <w:marRight w:val="0"/>
      <w:marTop w:val="0"/>
      <w:marBottom w:val="0"/>
      <w:divBdr>
        <w:top w:val="none" w:sz="0" w:space="0" w:color="auto"/>
        <w:left w:val="none" w:sz="0" w:space="0" w:color="auto"/>
        <w:bottom w:val="none" w:sz="0" w:space="0" w:color="auto"/>
        <w:right w:val="none" w:sz="0" w:space="0" w:color="auto"/>
      </w:divBdr>
    </w:div>
    <w:div w:id="1036203343">
      <w:bodyDiv w:val="1"/>
      <w:marLeft w:val="0"/>
      <w:marRight w:val="0"/>
      <w:marTop w:val="0"/>
      <w:marBottom w:val="0"/>
      <w:divBdr>
        <w:top w:val="none" w:sz="0" w:space="0" w:color="auto"/>
        <w:left w:val="none" w:sz="0" w:space="0" w:color="auto"/>
        <w:bottom w:val="none" w:sz="0" w:space="0" w:color="auto"/>
        <w:right w:val="none" w:sz="0" w:space="0" w:color="auto"/>
      </w:divBdr>
    </w:div>
    <w:div w:id="1467311835">
      <w:bodyDiv w:val="1"/>
      <w:marLeft w:val="0"/>
      <w:marRight w:val="0"/>
      <w:marTop w:val="0"/>
      <w:marBottom w:val="0"/>
      <w:divBdr>
        <w:top w:val="none" w:sz="0" w:space="0" w:color="auto"/>
        <w:left w:val="none" w:sz="0" w:space="0" w:color="auto"/>
        <w:bottom w:val="none" w:sz="0" w:space="0" w:color="auto"/>
        <w:right w:val="none" w:sz="0" w:space="0" w:color="auto"/>
      </w:divBdr>
    </w:div>
    <w:div w:id="1660889199">
      <w:bodyDiv w:val="1"/>
      <w:marLeft w:val="0"/>
      <w:marRight w:val="0"/>
      <w:marTop w:val="0"/>
      <w:marBottom w:val="0"/>
      <w:divBdr>
        <w:top w:val="none" w:sz="0" w:space="0" w:color="auto"/>
        <w:left w:val="none" w:sz="0" w:space="0" w:color="auto"/>
        <w:bottom w:val="none" w:sz="0" w:space="0" w:color="auto"/>
        <w:right w:val="none" w:sz="0" w:space="0" w:color="auto"/>
      </w:divBdr>
    </w:div>
    <w:div w:id="1666547488">
      <w:bodyDiv w:val="1"/>
      <w:marLeft w:val="0"/>
      <w:marRight w:val="0"/>
      <w:marTop w:val="0"/>
      <w:marBottom w:val="0"/>
      <w:divBdr>
        <w:top w:val="none" w:sz="0" w:space="0" w:color="auto"/>
        <w:left w:val="none" w:sz="0" w:space="0" w:color="auto"/>
        <w:bottom w:val="none" w:sz="0" w:space="0" w:color="auto"/>
        <w:right w:val="none" w:sz="0" w:space="0" w:color="auto"/>
      </w:divBdr>
    </w:div>
    <w:div w:id="1774013480">
      <w:bodyDiv w:val="1"/>
      <w:marLeft w:val="0"/>
      <w:marRight w:val="0"/>
      <w:marTop w:val="0"/>
      <w:marBottom w:val="0"/>
      <w:divBdr>
        <w:top w:val="none" w:sz="0" w:space="0" w:color="auto"/>
        <w:left w:val="none" w:sz="0" w:space="0" w:color="auto"/>
        <w:bottom w:val="none" w:sz="0" w:space="0" w:color="auto"/>
        <w:right w:val="none" w:sz="0" w:space="0" w:color="auto"/>
      </w:divBdr>
    </w:div>
    <w:div w:id="1807888113">
      <w:bodyDiv w:val="1"/>
      <w:marLeft w:val="0"/>
      <w:marRight w:val="0"/>
      <w:marTop w:val="0"/>
      <w:marBottom w:val="0"/>
      <w:divBdr>
        <w:top w:val="none" w:sz="0" w:space="0" w:color="auto"/>
        <w:left w:val="none" w:sz="0" w:space="0" w:color="auto"/>
        <w:bottom w:val="none" w:sz="0" w:space="0" w:color="auto"/>
        <w:right w:val="none" w:sz="0" w:space="0" w:color="auto"/>
      </w:divBdr>
    </w:div>
    <w:div w:id="1855799080">
      <w:bodyDiv w:val="1"/>
      <w:marLeft w:val="0"/>
      <w:marRight w:val="0"/>
      <w:marTop w:val="0"/>
      <w:marBottom w:val="0"/>
      <w:divBdr>
        <w:top w:val="none" w:sz="0" w:space="0" w:color="auto"/>
        <w:left w:val="none" w:sz="0" w:space="0" w:color="auto"/>
        <w:bottom w:val="none" w:sz="0" w:space="0" w:color="auto"/>
        <w:right w:val="none" w:sz="0" w:space="0" w:color="auto"/>
      </w:divBdr>
    </w:div>
    <w:div w:id="1870147265">
      <w:bodyDiv w:val="1"/>
      <w:marLeft w:val="0"/>
      <w:marRight w:val="0"/>
      <w:marTop w:val="0"/>
      <w:marBottom w:val="0"/>
      <w:divBdr>
        <w:top w:val="none" w:sz="0" w:space="0" w:color="auto"/>
        <w:left w:val="none" w:sz="0" w:space="0" w:color="auto"/>
        <w:bottom w:val="none" w:sz="0" w:space="0" w:color="auto"/>
        <w:right w:val="none" w:sz="0" w:space="0" w:color="auto"/>
      </w:divBdr>
    </w:div>
    <w:div w:id="1920945188">
      <w:bodyDiv w:val="1"/>
      <w:marLeft w:val="0"/>
      <w:marRight w:val="0"/>
      <w:marTop w:val="0"/>
      <w:marBottom w:val="0"/>
      <w:divBdr>
        <w:top w:val="none" w:sz="0" w:space="0" w:color="auto"/>
        <w:left w:val="none" w:sz="0" w:space="0" w:color="auto"/>
        <w:bottom w:val="none" w:sz="0" w:space="0" w:color="auto"/>
        <w:right w:val="none" w:sz="0" w:space="0" w:color="auto"/>
      </w:divBdr>
      <w:divsChild>
        <w:div w:id="1128206835">
          <w:marLeft w:val="0"/>
          <w:marRight w:val="0"/>
          <w:marTop w:val="0"/>
          <w:marBottom w:val="0"/>
          <w:divBdr>
            <w:top w:val="none" w:sz="0" w:space="0" w:color="auto"/>
            <w:left w:val="none" w:sz="0" w:space="0" w:color="auto"/>
            <w:bottom w:val="none" w:sz="0" w:space="0" w:color="auto"/>
            <w:right w:val="none" w:sz="0" w:space="0" w:color="auto"/>
          </w:divBdr>
          <w:divsChild>
            <w:div w:id="18628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0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583</TotalTime>
  <Pages>11</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2025-08-15T17:31:00Z</dcterms:created>
  <dcterms:modified xsi:type="dcterms:W3CDTF">2025-08-16T20:30:00Z</dcterms:modified>
</cp:coreProperties>
</file>