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85FA5"/>
          <w:sz w:val="18"/>
          <w:szCs w:val="18"/>
        </w:rPr>
        <w:t xml:space="preserve">ADDVALIS — DOSSIER DE SPÉCIFICATIONS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Neemba Caterpillar Guinée × Addvalis — Gestion de Caisse &amp; Ordres de Mission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C447C"/>
          <w:sz w:val="40"/>
          <w:szCs w:val="40"/>
        </w:rPr>
        <w:t xml:space="preserve">Spécifications Fonctionnelles et Détaillées</w:t>
      </w:r>
    </w:p>
    <w:p>
      <w:pPr>
        <w:spacing w:after="2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Déploiement Périmètre 2 — Conakry + 7 sites décentralisés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527"/>
        <w:gridCol w:w="2526"/>
        <w:gridCol w:w="2527"/>
      </w:tblGrid>
      <w:tr>
        <w:tc>
          <w:tcPr>
            <w:tcW w:type="dxa" w:w="2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Référence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ADV-NCG-2026-SPEC-P2</w:t>
            </w:r>
          </w:p>
        </w:tc>
        <w:tc>
          <w:tcPr>
            <w:tcW w:type="dxa" w:w="25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Version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52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Date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07/08/2026</w:t>
            </w:r>
          </w:p>
        </w:tc>
        <w:tc>
          <w:tcPr>
            <w:tcW w:type="dxa" w:w="252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55555"/>
                <w:sz w:val="16"/>
                <w:szCs w:val="16"/>
              </w:rPr>
              <w:t xml:space="preserve">Statut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9721B"/>
                <w:sz w:val="18"/>
                <w:szCs w:val="18"/>
              </w:rPr>
              <w:t xml:space="preserve">En cours d'exécution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Fondé sur le Bon de Commande ADV-NCG-2026-002 (29/07/2026), le devis ADV-NCG-2026-001 et la spécification technique du POC (Périmètre 1). Intègre les 2 évolutions demandées par le DAF suite au pilote.</w:t>
      </w:r>
    </w:p>
    <w:p>
      <w:r>
        <w:br w:type="page"/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1. Introduction &amp; objectifs du document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Ce dossier détaille, composant par composant, les spécifications fonctionnelles du Périmètre 2 : le déploiement complet de la plateforme de Gestion de Caisse &amp; Ordres de Mission sur l'ensemble des sites Neemba Caterpillar Guinée.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19"/>
          <w:szCs w:val="19"/>
        </w:rPr>
        <w:t xml:space="preserve">Il s'appuie sur 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La spécification fonctionnelle du POC (Périmètre 1) — socle déjà livré et testé sur Conakry.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 devis ADV-NCG-2026-001 et le Bon de Commande ADV-NCG-2026-002 — périmètre contractuel du déploiement complet.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Les retours du DAF suite aux tests du pilote (taux de succès ≈ 90%) — 2 évolutions à intégrer.</w:t>
      </w:r>
    </w:p>
    <w:p>
      <w:pPr>
        <w:spacing w:after="6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Ce document est destiné à l'équipe de développement Addvalis pour cadrer les travaux de la Phase 2, ainsi qu'aux référents Neemba pour validation des règles métier.</w:t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2. Rappel du périmètre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2.1 Sites concernés</w:t>
      </w:r>
    </w:p>
    <w:p>
      <w:pPr>
        <w:spacing w:after="1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8 sites au total : Conakry (siège, déjà en production sur le socle pilote) et 7 sites décentralisés — Sangarédi, Boké, Siguiri (×2 : Local et SAG), CORICA, Atelier, Kouroussa, Mandiana.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2.2 Composants fonctionnels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486"/>
        <w:gridCol w:w="2720"/>
      </w:tblGrid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Statut socle pilote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C1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Formulaire Smart Bon de Caisse &amp; Ordre de Mission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Livré (Conakry) — à généraliser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C2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Workflow de Validation 4 Niveaux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Livré (Conakry) — à généraliser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C3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Bons Provisoires &amp; Régularisation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 couvert par le pilote — à développer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C4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Rapport Journalier &amp; PV Arrêté de Caisse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Livré (Conakry, mono-site) — à étendre au multi-site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C5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Archivage IA Centralisé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Livré (Conakry) — à renforcer multi-site</w:t>
            </w:r>
          </w:p>
        </w:tc>
      </w:tr>
      <w:tr>
        <w:tc>
          <w:tcPr>
            <w:tcW w:type="dxa" w:w="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C6</w:t>
            </w:r>
          </w:p>
        </w:tc>
        <w:tc>
          <w:tcPr>
            <w:tcW w:type="dxa" w:w="648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Administration, Déploiement &amp; Formation</w:t>
            </w:r>
          </w:p>
        </w:tc>
        <w:tc>
          <w:tcPr>
            <w:tcW w:type="dxa" w:w="27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 couvert par le pilote — à développer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2.3 Hors périmètre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Explicitement exclus du Bon de Commande (relèvent du Périmètre 3, non engagé) : intégration ERP Infor IE, déduplication Salesforce des ODM C1, dashboard prédictif de trésorerie.</w:t>
      </w:r>
    </w:p>
    <w:p>
      <w:r>
        <w:br w:type="page"/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3. Référentiels &amp; règles métier transverses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3.1 Plafonds de caisse par site — ⚠ en attente d'arbitrage DAF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Deux versions de la procédure de gestion de caisse coexistent à ce jour. Le paramétrage définitif des plafonds ne peut être finalisé avant arbitrage du DAF. Les deux versions connues sont indiquées ci-dessous à titre de référence :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00"/>
        <w:gridCol w:w="2306"/>
        <w:gridCol w:w="1900"/>
      </w:tblGrid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Site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Nov. 2025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 alternative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Écart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Conakry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20 000 000 GNF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30 000 000 GNF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+10M GNF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Sangarédi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15 000 000 GNF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10 000 000 GNF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−5M GNF</w:t>
            </w:r>
          </w:p>
        </w:tc>
      </w:tr>
      <w:tr>
        <w:tc>
          <w:tcPr>
            <w:tcW w:type="dxa" w:w="3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Boké / CORICA / Siguiri / Atelier / Kouroussa / Mandiana</w:t>
            </w:r>
          </w:p>
        </w:tc>
        <w:tc>
          <w:tcPr>
            <w:tcW w:type="dxa" w:w="2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4 000 000 GNF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Pas de plafond défini</w:t>
            </w:r>
          </w:p>
        </w:tc>
        <w:tc>
          <w:tcPr>
            <w:tcW w:type="dxa" w:w="19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Risque — à clarifier</w:t>
            </w:r>
          </w:p>
        </w:tc>
      </w:tr>
    </w:tbl>
    <w:p>
      <w:pPr>
        <w:spacing w:after="6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721B"/>
          <w:sz w:val="19"/>
          <w:szCs w:val="19"/>
        </w:rPr>
        <w:t xml:space="preserve">Action bloquante : le paramétrage des plafonds par site dans C1/C2 ne démarre qu'après réception de la version officielle arbitrée par le DAF.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3.2 Référentiels attendus de Neemba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Codes analytiques — liste complète avec intitulés et business units associées.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Liste des sites actifs et des utilisateurs (nom, rôle, rattachement hiérarchique, coordonnées).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Seuils de validation par caisse et par destination.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Format cible pour l'export Excel du rapport de caisse.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3.3 Barèmes ODM (Ordres de Mission)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06"/>
        <w:gridCol w:w="2800"/>
      </w:tblGrid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Catégorie</w:t>
            </w:r>
          </w:p>
        </w:tc>
        <w:tc>
          <w:tcPr>
            <w:tcW w:type="dxa" w:w="58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Barème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C1</w:t>
            </w:r>
          </w:p>
        </w:tc>
        <w:tc>
          <w:tcPr>
            <w:tcW w:type="dxa" w:w="58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Personnel quasi-permanent sur site (~15-20 pers.), décaissements bimensuels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125 000 GNF/jour (indemnité journalière)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C2</w:t>
            </w:r>
          </w:p>
        </w:tc>
        <w:tc>
          <w:tcPr>
            <w:tcW w:type="dxa" w:w="58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Missions ponctuelles multi-jours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500 000 GNF/nuit (hébergement)</w:t>
            </w:r>
          </w:p>
        </w:tc>
      </w:tr>
      <w:tr>
        <w:tc>
          <w:tcPr>
            <w:tcW w:type="dxa" w:w="1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Frais OM</w:t>
            </w:r>
          </w:p>
        </w:tc>
        <w:tc>
          <w:tcPr>
            <w:tcW w:type="dxa" w:w="58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Retrait Orange Money, toutes catégories</w:t>
            </w:r>
          </w:p>
        </w:tc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1% du montant total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3.4 SLA cibles du workflow de validation (architecture cible Périmètre 2)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Ces SLA correspondent à l'architecture cible validée pour le déploiement complet — à distinguer des paramètres provisoires plus serrés utilisés lors de la démonstration du POC.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206"/>
        <w:gridCol w:w="2700"/>
      </w:tblGrid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6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 cible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6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Chef de Service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4h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6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Contrôle de Gestion (CDG)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24h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6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DAF / Chef Comptable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8h</w:t>
            </w:r>
          </w:p>
        </w:tc>
      </w:tr>
      <w:tr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62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Directeur Pays (si montant ≥ seuil)</w:t>
            </w:r>
          </w:p>
        </w:tc>
        <w:tc>
          <w:tcPr>
            <w:tcW w:type="dxa" w:w="27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24h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4. Spécifications fonctionnelles par composant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4.1 — C1 : Formulaire Smart Bon de Caisse &amp; Ordre de Mission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Périmètre déjà livré (pilote)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Saisie mobile-first : type de bon (BD/BP), site, service, code analytique, bénéficiaire, motif, montant en chiffres et en lettres.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OCR carburant : extraction automatique montant HT, date, immatriculation, quantité — couverture ≥ 90% des justificatifs carburant.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Contrôle de complétude de la liasse à la soumission (DA + justificatif + facture/proforma + ODM si applicable) — blocage si pièce manquante.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Contrôle qualité des scans : alerte et blocage si résolution &lt; 300 dpi.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Calcul automatique des indemnités ODM et génération de la référence Orange Money.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Numérotation automatique unique (format BC-AAAA-NNNN).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À généraliser pour le Périmètre 2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Extension du formulaire aux 7 sites décentralisés — liste de sites, plafonds et codes analytiques paramétrés par site (cf. 3.1).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Vérification du plafond de retrait en temps réel selon le site sélectionné.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Évolution demandée — Délégation d'initiation de BC en cas d'absence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Demande du DAF : « Permettre à la personne qui initie un BC de faire une délégation en cas d'absence ».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306"/>
      </w:tblGrid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Désignation du back-up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 Demandeur désigne un back-up habilité à initier un BC en son nom, pour une période et un périmètre définis.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Validation de la désignation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Formalisée par le Demandeur, avec information automatique du Chef de Service.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Traçabilité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 BC initié via délégation conserve l'auteur réel (back-up) et le titulaire délégué — même logique d'audit trail que pour les valideurs (cf. C2).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 automatique au Chef de Service lorsqu'un BC est initié via une délégation active.</w:t>
            </w:r>
          </w:p>
        </w:tc>
      </w:tr>
      <w:tr>
        <w:tc>
          <w:tcPr>
            <w:tcW w:type="dxa" w:w="28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Fin de délégation</w:t>
            </w:r>
          </w:p>
        </w:tc>
        <w:tc>
          <w:tcPr>
            <w:tcW w:type="dxa" w:w="7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Expiration automatique à la date de fin définie — retour à l'état standard sans action manuelle.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4.2 — C2 : Workflow de Validation 4 Niveaux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Périmètre déjà livré (pilote)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Circuit configuré : Demandeur → Responsable de Service → CDG → DAF/Chef Comptable → Directeur Pays (si montant ≥ seuil).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Gestion des délégations de signature pour les valideurs (back-up formalisé, période et périmètre définis, notification automatique au caissier).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Relances automatiques multicanales (email, SMS, WhatsApp) si SLA dépassé, avec escalade au niveau N+1.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Rejet structuré avec motif obligatoire (liste déroulante) et notification sous 2h.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Tableau de bord de validation en temps réel, audit trail complet.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À généraliser pour le Périmètre 2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Paramétrage des valideurs par site (Chef de Service, CDG local si applicable) pour les 7 sites décentralisés.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Passage aux SLA cibles de l'architecture validée (cf. 3.4) : Chef de Service 4h, CDG 24h, DAF 8h, DP 24h.</w:t>
      </w:r>
    </w:p>
    <w:p>
      <w:pPr>
        <w:spacing w:after="60" w:before="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Rappel : la logique de délégation pour l'initiateur (évolution DAF, cf. 4.1) s'appuie sur le même moteur de délégation que celui déjà en place pour les valideurs — extension du modèle existant, pas de nouveau moteur.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4.3 — C3 : Bons Provisoires &amp; Régularisation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721B"/>
          <w:sz w:val="19"/>
          <w:szCs w:val="19"/>
        </w:rPr>
        <w:t xml:space="preserve">Composant non couvert par le pilote — développement complet pour le Périmètre 2.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Comptabilisation des bons provisoires (BP) sur compte dédié, avec suivi automatisé du statut de régularisation.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Alertes de régularisation automatiques à J+2 (cas hors mission) et J+3 (retour de mission).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Escalade RH automatique en cas de dépassement du délai de régularisation (retenue salariale à initier).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Formulaire numérique d'avance à justifier : pré-remplissage depuis le BP d'origine, calcul automatique du montant justifié, du retour caisse et du trop-justifié.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Relance hebdomadaire (vendredi) au bénéficiaire, responsable de département, CDG et DAF pour tout BP non régularisé.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4.4 — C4 : Rapport Journalier &amp; PV Arrêté de Caisse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Périmètre déjà livré (pilote — Conakry uniquement)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Consolidation automatique des flux entrants/sortants de la journée (solde ouverture, entrées, sorties, solde clôture).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Génération automatique du rapport (Excel + PDF), diffusion avant 8h00 (DAF, Chef Comptable, Trésorière).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Détail par opération : référence, bénéficiaire, montant, mode de paiement (Espèces/Orange Money).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À étendre pour le Périmètre 2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Consolidation multi-sites : rapport par site + rapport consolidé sur les 8 caisses.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Billetage automatique (répartition par coupure : 20 000 / 10 000 / 5 000 / 2 000 / 1 000 / 500 / 100 / 50 GNF).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Alertes de réapprovisionnement préventif dès franchissement d'un seuil paramétrable par site (ex. Conakry 50M, Sangarédi 20M, Boké 5M — à confirmer selon arbitrage DAF).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Réconciliation : comparaison solde physique déclaré par le caissier vs solde comptable calculé, alerte sur tout écart.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Évolution demandée — Distinction des soldes caisse OM et caisse Espèces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9"/>
          <w:szCs w:val="19"/>
        </w:rPr>
        <w:t xml:space="preserve">Demande du DAF : « Faire apparaître distinctement le solde caisse OM et solde caisse ESPÈCE ».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606"/>
      </w:tblGrid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Détail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Double solde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 calcul du solde de caisse est scindé en deux soldes indépendants : solde Espèces (ouverture/clôture) et solde Orange Money (ouverture/clôture).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Base de calcul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Chaque opération est déjà qualifiée par mode de paiement (Espèces/OM) — le calcul du solde doit simplement être ventilé par mode plutôt que consolidé.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Affichage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Les deux soldes apparaissent distinctement dans le rapport journalier (Excel + PDF), avec un total consolidé donné à titre indicatif.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Réconciliation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 réconciliation solde physique / solde comptable (cf. ci-dessus) doit également être ventilée par mode de paiement.</w:t>
            </w:r>
          </w:p>
        </w:tc>
      </w:tr>
      <w:tr>
        <w:tc>
          <w:tcPr>
            <w:tcW w:type="dxa" w:w="2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Impact sur les alertes</w:t>
            </w:r>
          </w:p>
        </w:tc>
        <w:tc>
          <w:tcPr>
            <w:tcW w:type="dxa" w:w="76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Les alertes de seuil minimum et de réapprovisionnement préventif (cf. ci-dessus) doivent être calculées séparément pour chaque solde.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4.5 — C5 : Archivage IA Centralisé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Périmètre déjà livré (pilote)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Classification automatique des documents par type (BC, ODM, factures, justificatifs carburant, rapports journaliers).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Indexation full-text : recherche par numéro BC, bénéficiaire, montant, date.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Lien traçable entre le bon de caisse, l'ODM associé et les justificatifs correspondants.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Rétention 5 ans, conforme à la procédure de gestion de caisse Neemba.</w:t>
      </w:r>
    </w:p>
    <w:p>
      <w:pPr>
        <w:pStyle w:val="Heading3"/>
        <w:spacing w:after="90" w:before="180"/>
      </w:pPr>
      <w:r>
        <w:rPr>
          <w:rFonts w:ascii="Calibri" w:cs="Calibri" w:eastAsia="Calibri" w:hAnsi="Calibri"/>
          <w:b/>
          <w:bCs/>
          <w:color w:val="C9721B"/>
          <w:sz w:val="20"/>
          <w:szCs w:val="20"/>
        </w:rPr>
        <w:t xml:space="preserve">À renforcer pour le Périmètre 2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Extension de l'indexation au critère « site » pour permettre une recherche multi-sites.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Vérification de la performance de recherche à l'échelle du volume des 8 sites (dimensionnement à valider en recette).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4.6 — C6 : Administration, Déploiement &amp; Formation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9721B"/>
          <w:sz w:val="19"/>
          <w:szCs w:val="19"/>
        </w:rPr>
        <w:t xml:space="preserve">Composant non couvert par le pilote — développement complet pour le Périmètre 2.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Module d'administration : gestion des utilisateurs, des rôles, des signataires habilités, des seuils et plafonds par site — interface dédiée DAF.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Déploiement du site principal (Conakry) : installation, paramétrage des règles métier réelles Neemba, formation des profils clés.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Déploiement des 7 sites décentralisés : Sangarédi, Boké, Siguiri (Local/SAG), CORICA, Atelier, Kouroussa, Mandiana — formation des caissiers distants.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Recette et tests d'acceptation (UAT) sur 30 bons réels, avec rapport de recette signé conjointement Addvalis et Neemba.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Manuel utilisateur par profil (Demandeur, CDG, DAF, Caissier) et documentation technique (architecture, API, schéma BDD).</w:t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5. Exigences non fonctionnelles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Hébergement : infrastructure fournie par Neemba — spécifications techniques fournies par Addvalis.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Sécurité : authentification SSO + MFA, journal d'audit (audit log) sur l'ensemble des actions de validation et d'administration.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Canaux de notification : email, SMS, WhatsApp — configuration messagerie/SMS à valider avec l'IT Neemba.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Connectivité sites distants : à évaluer par site (cf. registre des risques, R4) — un mode de synchronisation différée pourrait être nécessaire pour les sites les moins connectés.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Propriété intellectuelle : méthodes, prompts IA et code source restent propriété exclusive d'Addvalis, non transférables (cf. BC ADV-NCG-2026-002).</w:t>
      </w:r>
    </w:p>
    <w:p>
      <w:pPr>
        <w:pStyle w:val="Heading1"/>
        <w:pBdr>
          <w:bottom w:val="single" w:color="0C447C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0C447C"/>
          <w:sz w:val="27"/>
          <w:szCs w:val="27"/>
        </w:rPr>
        <w:t xml:space="preserve">6. Annexes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6.1 Matrice des notifications automatiques (héritée du socle C2, applicable à tous les sites)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306"/>
        <w:gridCol w:w="220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Destinataires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Délai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Soumission BC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Valideur N+1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Immédiat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 dépassé (1×)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Valideur courant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WhatsApp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 +0h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 dépassé (2×)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Valideur + N+1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Escalade sous 2h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Rejet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Demandeur + chaîne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 + SMS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Immédiat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BP non régularisé (hebdo.)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Bénéficiaire, Resp., CDG, DAF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Chaque vendredi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BP délai dépassé</w:t>
            </w:r>
          </w:p>
        </w:tc>
        <w:tc>
          <w:tcPr>
            <w:tcW w:type="dxa" w:w="3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RH + DAF</w:t>
            </w:r>
          </w:p>
        </w:tc>
        <w:tc>
          <w:tcPr>
            <w:tcW w:type="dxa" w:w="23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J+3 / J+4</w:t>
            </w:r>
          </w:p>
        </w:tc>
      </w:tr>
    </w:tbl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85FA5"/>
          <w:sz w:val="22"/>
          <w:szCs w:val="22"/>
        </w:rPr>
        <w:t xml:space="preserve">6.2 Glossaire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106"/>
      </w:tblGrid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C447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Définition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BC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 de Caisse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BD / BP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Bon Définitif (montant connu) / Bon Provisoire (à régulariser)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ODM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Ordre de Mission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CDG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Contrôle de Gestion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DAF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Directeur Administratif et Financier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DP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Directeur Pays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OM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Orange Money</w:t>
            </w:r>
          </w:p>
        </w:tc>
      </w:tr>
      <w:tr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UAT</w:t>
            </w:r>
          </w:p>
        </w:tc>
        <w:tc>
          <w:tcPr>
            <w:tcW w:type="dxa" w:w="810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Acceptance Testing — recette utilisateurs</w:t>
            </w:r>
          </w:p>
        </w:tc>
      </w:tr>
    </w:tbl>
    <w:p>
      <w:pPr>
        <w:spacing w:before="400"/>
        <w:jc w:val="center"/>
      </w:pPr>
      <w:r>
        <w:rPr>
          <w:rFonts w:ascii="Calibri" w:cs="Calibri" w:eastAsia="Calibri" w:hAnsi="Calibri"/>
          <w:i/>
          <w:iCs/>
          <w:color w:val="555555"/>
          <w:sz w:val="15"/>
          <w:szCs w:val="15"/>
        </w:rPr>
        <w:t xml:space="preserve">Document interne — Addvalis © 2026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2026-08-07T12:20:09.252Z</dcterms:created>
  <dcterms:modified xsi:type="dcterms:W3CDTF">2026-08-07T12:20:09.253Z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