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left"/>
      </w:pPr>
      <w:r>
        <w:rPr>
          <w:rFonts w:ascii="Calibri" w:cs="Calibri" w:eastAsia="Calibri" w:hAnsi="Calibri"/>
          <w:b/>
          <w:bCs/>
          <w:color w:val="E8772E"/>
          <w:sz w:val="28"/>
          <w:szCs w:val="28"/>
        </w:rPr>
        <w:t xml:space="preserve">ADDVALIS</w:t>
      </w:r>
    </w:p>
    <w:p>
      <w:pPr>
        <w:spacing w:after="1400" w:before="0"/>
        <w:jc w:val="left"/>
      </w:pPr>
      <w:r>
        <w:rPr>
          <w:rFonts w:ascii="Calibri" w:cs="Calibri" w:eastAsia="Calibri" w:hAnsi="Calibri"/>
          <w:color w:val="6B7280"/>
          <w:sz w:val="18"/>
          <w:szCs w:val="18"/>
        </w:rPr>
        <w:t xml:space="preserve">Digital transformation · IA · Intégration</w:t>
      </w:r>
    </w:p>
    <w:p>
      <w:pPr>
        <w:spacing w:after="80" w:before="0"/>
        <w:jc w:val="left"/>
      </w:pPr>
      <w:r>
        <w:rPr>
          <w:rFonts w:ascii="Calibri" w:cs="Calibri" w:eastAsia="Calibri" w:hAnsi="Calibri"/>
          <w:b/>
          <w:bCs/>
          <w:color w:val="E8772E"/>
          <w:sz w:val="22"/>
          <w:szCs w:val="22"/>
        </w:rPr>
        <w:t xml:space="preserve">NEEMBA CATERPILLAR GUINÉE — PÉRIMÈTRE 2</w:t>
      </w:r>
    </w:p>
    <w:p>
      <w:pPr>
        <w:spacing w:after="120" w:before="0"/>
        <w:jc w:val="left"/>
      </w:pPr>
      <w:r>
        <w:rPr>
          <w:rFonts w:ascii="Calibri" w:cs="Calibri" w:eastAsia="Calibri" w:hAnsi="Calibri"/>
          <w:b/>
          <w:bCs/>
          <w:color w:val="1B2A4A"/>
          <w:sz w:val="44"/>
          <w:szCs w:val="44"/>
        </w:rPr>
        <w:t xml:space="preserve">Plateforme Bons de Caisse &amp; Ordres de Mission</w:t>
      </w:r>
    </w:p>
    <w:p>
      <w:pPr>
        <w:spacing w:after="600" w:before="0"/>
        <w:jc w:val="left"/>
      </w:pPr>
      <w:r>
        <w:rPr>
          <w:rFonts w:ascii="Calibri" w:cs="Calibri" w:eastAsia="Calibri" w:hAnsi="Calibri"/>
          <w:color w:val="1B2A4A"/>
          <w:sz w:val="30"/>
          <w:szCs w:val="30"/>
        </w:rPr>
        <w:t xml:space="preserve">Spécification fonctionnelle détaillée — v2.2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Élément</w:t>
            </w:r>
          </w:p>
        </w:tc>
        <w:tc>
          <w:tcPr>
            <w:tcW w:type="dxa" w:w="7228"/>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Valeur</w:t>
            </w:r>
          </w:p>
        </w:tc>
      </w:tr>
      <w:tr>
        <w:trPr>
          <w:cantSplit/>
        </w:trPr>
        <w:tc>
          <w:tcPr>
            <w:tcW w:type="dxa" w:w="2410"/>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Version</w:t>
            </w:r>
          </w:p>
        </w:tc>
        <w:tc>
          <w:tcPr>
            <w:tcW w:type="dxa" w:w="7228"/>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v2.2 — 07/10/2026</w:t>
            </w:r>
          </w:p>
        </w:tc>
      </w:tr>
      <w:tr>
        <w:trPr>
          <w:cantSplit/>
        </w:trPr>
        <w:tc>
          <w:tcPr>
            <w:tcW w:type="dxa" w:w="2410"/>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Remplace</w:t>
            </w:r>
          </w:p>
        </w:tc>
        <w:tc>
          <w:tcPr>
            <w:tcW w:type="dxa" w:w="7228"/>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v2.1 et v2.0 du 07/10/2026, v1.1 et livraison 1 de la v1.3 (M03). À lire avec la spécification technique v1.3</w:t>
            </w:r>
          </w:p>
        </w:tc>
      </w:tr>
      <w:tr>
        <w:trPr>
          <w:cantSplit/>
        </w:trPr>
        <w:tc>
          <w:tcPr>
            <w:tcW w:type="dxa" w:w="2410"/>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Destinataire</w:t>
            </w:r>
          </w:p>
        </w:tc>
        <w:tc>
          <w:tcPr>
            <w:tcW w:type="dxa" w:w="7228"/>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Maurice — développeur, plateforme neemba.wedrive.africa</w:t>
            </w:r>
          </w:p>
        </w:tc>
      </w:tr>
      <w:tr>
        <w:trPr>
          <w:cantSplit/>
        </w:trPr>
        <w:tc>
          <w:tcPr>
            <w:tcW w:type="dxa" w:w="2410"/>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Auteur</w:t>
            </w:r>
          </w:p>
        </w:tc>
        <w:tc>
          <w:tcPr>
            <w:tcW w:type="dxa" w:w="7228"/>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Thierno Diallo — Consultant Principal, Addvalis</w:t>
            </w:r>
          </w:p>
        </w:tc>
      </w:tr>
      <w:tr>
        <w:trPr>
          <w:cantSplit/>
        </w:trPr>
        <w:tc>
          <w:tcPr>
            <w:tcW w:type="dxa" w:w="2410"/>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Statut</w:t>
            </w:r>
          </w:p>
        </w:tc>
        <w:tc>
          <w:tcPr>
            <w:tcW w:type="dxa" w:w="7228"/>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Bon pour développement (lots P1) · Bon pour développement sauf paramètres ⚠ (lots P2, P3)</w:t>
            </w:r>
          </w:p>
        </w:tc>
      </w:tr>
      <w:tr>
        <w:trPr>
          <w:cantSplit/>
        </w:trPr>
        <w:tc>
          <w:tcPr>
            <w:tcW w:type="dxa" w:w="2410"/>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Classification</w:t>
            </w:r>
          </w:p>
        </w:tc>
        <w:tc>
          <w:tcPr>
            <w:tcW w:type="dxa" w:w="7228"/>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Interne Addvalis — ne pas diffuser au client en l'état</w:t>
            </w:r>
          </w:p>
        </w:tc>
      </w:tr>
    </w:tbl>
    <w:p>
      <w:pPr>
        <w:spacing w:after="100"/>
      </w:pPr>
    </w:p>
    <w:p>
      <w:pPr>
        <w:pStyle w:val="Heading1"/>
        <w:pageBreakBefore/>
      </w:pPr>
      <w:r>
        <w:t xml:space="preserve">Suivi du document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1349"/>
        <w:gridCol w:w="6747"/>
      </w:tblGrid>
      <w:tr>
        <w:trPr>
          <w:tblHeader/>
        </w:trPr>
        <w:tc>
          <w:tcPr>
            <w:tcW w:type="dxa" w:w="1542"/>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Version</w:t>
            </w:r>
          </w:p>
        </w:tc>
        <w:tc>
          <w:tcPr>
            <w:tcW w:type="dxa" w:w="1349"/>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Date</w:t>
            </w:r>
          </w:p>
        </w:tc>
        <w:tc>
          <w:tcPr>
            <w:tcW w:type="dxa" w:w="6747"/>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Objet</w:t>
            </w:r>
          </w:p>
        </w:tc>
      </w:tr>
      <w:tr>
        <w:trPr>
          <w:cantSplit/>
        </w:trPr>
        <w:tc>
          <w:tcPr>
            <w:tcW w:type="dxa" w:w="1542"/>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v1.1</w:t>
            </w:r>
          </w:p>
        </w:tc>
        <w:tc>
          <w:tcPr>
            <w:tcW w:type="dxa" w:w="134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09/2026</w:t>
            </w:r>
          </w:p>
        </w:tc>
        <w:tc>
          <w:tcPr>
            <w:tcW w:type="dxa" w:w="6747"/>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Spécification fonctionnelle et technique intégrant la procédure de caisse officielle (VF).</w:t>
            </w:r>
          </w:p>
        </w:tc>
      </w:tr>
      <w:tr>
        <w:trPr>
          <w:cantSplit/>
        </w:trPr>
        <w:tc>
          <w:tcPr>
            <w:tcW w:type="dxa" w:w="1542"/>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v1.3 — livraison 1</w:t>
            </w:r>
          </w:p>
        </w:tc>
        <w:tc>
          <w:tcPr>
            <w:tcW w:type="dxa" w:w="134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05/10/2026</w:t>
            </w:r>
          </w:p>
        </w:tc>
        <w:tc>
          <w:tcPr>
            <w:tcW w:type="dxa" w:w="6747"/>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Cadre, carte des 15 modules, socle constaté (ANO-01 à ANO-14), module M03 détaillé.</w:t>
            </w:r>
          </w:p>
        </w:tc>
      </w:tr>
      <w:tr>
        <w:trPr>
          <w:cantSplit/>
        </w:trPr>
        <w:tc>
          <w:tcPr>
            <w:tcW w:type="dxa" w:w="1542"/>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v2.0</w:t>
            </w:r>
          </w:p>
        </w:tc>
        <w:tc>
          <w:tcPr>
            <w:tcW w:type="dxa" w:w="134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07/10/2026</w:t>
            </w:r>
          </w:p>
        </w:tc>
        <w:tc>
          <w:tcPr>
            <w:tcW w:type="dxa" w:w="6747"/>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Refonte complète : comité du 06/10, fiches ODM et fil de prolongation reçus les 05 et 06/10, arbitrages Addvalis du 07/10.</w:t>
            </w:r>
          </w:p>
        </w:tc>
      </w:tr>
      <w:tr>
        <w:trPr>
          <w:cantSplit/>
        </w:trPr>
        <w:tc>
          <w:tcPr>
            <w:tcW w:type="dxa" w:w="1542"/>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v2.1</w:t>
            </w:r>
          </w:p>
        </w:tc>
        <w:tc>
          <w:tcPr>
            <w:tcW w:type="dxa" w:w="134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07/10/2026</w:t>
            </w:r>
          </w:p>
        </w:tc>
        <w:tc>
          <w:tcPr>
            <w:tcW w:type="dxa" w:w="6747"/>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Alignement sur la procédure de caisse VF (relue intégralement) : choix du mode par le caissier, BP des visiteurs du groupe, réapprovisionnement bancaire avec visa DP, rôles adjoints, Annexes 1 à 3, imputation comptable (M16), réconciliation OM. Exigences mobile / poste fixe, saisie hors ligne, reprise des données.</w:t>
            </w:r>
          </w:p>
        </w:tc>
      </w:tr>
      <w:tr>
        <w:trPr>
          <w:cantSplit/>
        </w:trPr>
        <w:tc>
          <w:tcPr>
            <w:tcW w:type="dxa" w:w="1542"/>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v2.2</w:t>
            </w:r>
          </w:p>
        </w:tc>
        <w:tc>
          <w:tcPr>
            <w:tcW w:type="dxa" w:w="134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07/10/2026</w:t>
            </w:r>
          </w:p>
        </w:tc>
        <w:tc>
          <w:tcPr>
            <w:tcW w:type="dxa" w:w="6747"/>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Alignement avec la spécification technique v1.3 : OTP au bénéficiaire, frais OM hors paliers saisis par la Trésorerie, taux FCFA du jour du paiement, conservation 5 ans, export comptable générique (Infor IE hors périmètre), motifs de rejet, format du rapport journalier, ODM générant BD et BP (paramètre), hébergement extérieur, pièces en double, cibles de performance.</w:t>
            </w:r>
          </w:p>
        </w:tc>
      </w:tr>
    </w:tbl>
    <w:p>
      <w:pPr>
        <w:spacing w:after="100"/>
      </w:pPr>
    </w:p>
    <w:p>
      <w:pPr>
        <w:pStyle w:val="Heading2"/>
      </w:pPr>
      <w:r>
        <w:t xml:space="preserve">Ce qui change par rapport à la v1.1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2891"/>
        <w:gridCol w:w="5012"/>
      </w:tblGrid>
      <w:tr>
        <w:trPr>
          <w:tblHeader/>
        </w:trPr>
        <w:tc>
          <w:tcPr>
            <w:tcW w:type="dxa" w:w="1735"/>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Sujet</w:t>
            </w:r>
          </w:p>
        </w:tc>
        <w:tc>
          <w:tcPr>
            <w:tcW w:type="dxa" w:w="2891"/>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v1.1</w:t>
            </w:r>
          </w:p>
        </w:tc>
        <w:tc>
          <w:tcPr>
            <w:tcW w:type="dxa" w:w="5012"/>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v2.0</w:t>
            </w:r>
          </w:p>
        </w:tc>
      </w:tr>
      <w:tr>
        <w:trPr>
          <w:cantSplit/>
        </w:trPr>
        <w:tc>
          <w:tcPr>
            <w:tcW w:type="dxa" w:w="1735"/>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ODM</w:t>
            </w:r>
          </w:p>
        </w:tc>
        <w:tc>
          <w:tcPr>
            <w:tcW w:type="dxa" w:w="2891"/>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Absent du socle ; barème 125 000 GNF/j</w:t>
            </w:r>
          </w:p>
        </w:tc>
        <w:tc>
          <w:tcPr>
            <w:tcW w:type="dxa" w:w="5012"/>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Module M12 complet : fiche multi-personnes, OR liés, prolongations chaînées, ODM extérieur ; 250 000 GNF/j</w:t>
            </w:r>
          </w:p>
        </w:tc>
      </w:tr>
      <w:tr>
        <w:trPr>
          <w:cantSplit/>
        </w:trPr>
        <w:tc>
          <w:tcPr>
            <w:tcW w:type="dxa" w:w="1735"/>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Frais Orange Money</w:t>
            </w:r>
          </w:p>
        </w:tc>
        <w:tc>
          <w:tcPr>
            <w:tcW w:type="dxa" w:w="2891"/>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1 % du montant</w:t>
            </w:r>
          </w:p>
        </w:tc>
        <w:tc>
          <w:tcPr>
            <w:tcW w:type="dxa" w:w="5012"/>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Grille par paliers, calculée sur le total et ajoutée au montant versé, pour tous les bons payés par OM</w:t>
            </w:r>
          </w:p>
        </w:tc>
      </w:tr>
      <w:tr>
        <w:trPr>
          <w:cantSplit/>
        </w:trPr>
        <w:tc>
          <w:tcPr>
            <w:tcW w:type="dxa" w:w="1735"/>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Services</w:t>
            </w:r>
          </w:p>
        </w:tc>
        <w:tc>
          <w:tcPr>
            <w:tcW w:type="dxa" w:w="2891"/>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8 libellés (Annexe 1)</w:t>
            </w:r>
          </w:p>
        </w:tc>
        <w:tc>
          <w:tcPr>
            <w:tcW w:type="dxa" w:w="5012"/>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Liste du Contrôle de gestion : 10 services</w:t>
            </w:r>
          </w:p>
        </w:tc>
      </w:tr>
      <w:tr>
        <w:trPr>
          <w:cantSplit/>
        </w:trPr>
        <w:tc>
          <w:tcPr>
            <w:tcW w:type="dxa" w:w="1735"/>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Caisses</w:t>
            </w:r>
          </w:p>
        </w:tc>
        <w:tc>
          <w:tcPr>
            <w:tcW w:type="dxa" w:w="2891"/>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Sites codés en dur</w:t>
            </w:r>
          </w:p>
        </w:tc>
        <w:tc>
          <w:tcPr>
            <w:tcW w:type="dxa" w:w="5012"/>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8 caisses paramétrées ; caisse Atelier en avance fixe rattachée à Conakry ; CORICA = Kouroussa ; Mandiana = Siguiri Technique</w:t>
            </w:r>
          </w:p>
        </w:tc>
      </w:tr>
      <w:tr>
        <w:trPr>
          <w:cantSplit/>
        </w:trPr>
        <w:tc>
          <w:tcPr>
            <w:tcW w:type="dxa" w:w="1735"/>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Plafonds de retrait</w:t>
            </w:r>
          </w:p>
        </w:tc>
        <w:tc>
          <w:tcPr>
            <w:tcW w:type="dxa" w:w="2891"/>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20 M codé en dur</w:t>
            </w:r>
          </w:p>
        </w:tc>
        <w:tc>
          <w:tcPr>
            <w:tcW w:type="dxa" w:w="5012"/>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Plafond de retrait par caisse, paramétrable ; distinct du plafond de caisse et du seuil de réapprovisionnement</w:t>
            </w:r>
          </w:p>
        </w:tc>
      </w:tr>
      <w:tr>
        <w:trPr>
          <w:cantSplit/>
        </w:trPr>
        <w:tc>
          <w:tcPr>
            <w:tcW w:type="dxa" w:w="1735"/>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Bénéficiaire</w:t>
            </w:r>
          </w:p>
        </w:tc>
        <w:tc>
          <w:tcPr>
            <w:tcW w:type="dxa" w:w="2891"/>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Texte libre</w:t>
            </w:r>
          </w:p>
        </w:tc>
        <w:tc>
          <w:tcPr>
            <w:tcW w:type="dxa" w:w="5012"/>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Référentiel salariés, visiteurs du groupe et tiers validés par la comptabilité ou le CDG</w:t>
            </w:r>
          </w:p>
        </w:tc>
      </w:tr>
      <w:tr>
        <w:trPr>
          <w:cantSplit/>
        </w:trPr>
        <w:tc>
          <w:tcPr>
            <w:tcW w:type="dxa" w:w="1735"/>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Bons provisoires</w:t>
            </w:r>
          </w:p>
        </w:tc>
        <w:tc>
          <w:tcPr>
            <w:tcW w:type="dxa" w:w="2891"/>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Relance seule</w:t>
            </w:r>
          </w:p>
        </w:tc>
        <w:tc>
          <w:tcPr>
            <w:tcW w:type="dxa" w:w="5012"/>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BP réservé aux salariés et visiteurs du groupe ; écran de justification (Annexe 3) ; blocage paramétrable en cas de BP en retard</w:t>
            </w:r>
          </w:p>
        </w:tc>
      </w:tr>
      <w:tr>
        <w:trPr>
          <w:cantSplit/>
        </w:trPr>
        <w:tc>
          <w:tcPr>
            <w:tcW w:type="dxa" w:w="1735"/>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Mode de paiement</w:t>
            </w:r>
          </w:p>
        </w:tc>
        <w:tc>
          <w:tcPr>
            <w:tcW w:type="dxa" w:w="2891"/>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Choisi par le demandeur</w:t>
            </w:r>
          </w:p>
        </w:tc>
        <w:tc>
          <w:tcPr>
            <w:tcW w:type="dxa" w:w="5012"/>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Souhaité par le demandeur, </w:t>
            </w:r>
            <w:r>
              <w:rPr>
                <w:rFonts w:ascii="Calibri" w:cs="Calibri" w:eastAsia="Calibri" w:hAnsi="Calibri"/>
                <w:b/>
                <w:bCs/>
                <w:sz w:val="18"/>
                <w:szCs w:val="18"/>
              </w:rPr>
              <w:t xml:space="preserve">décidé par le caissier</w:t>
            </w:r>
            <w:r>
              <w:rPr>
                <w:rFonts w:ascii="Calibri" w:cs="Calibri" w:eastAsia="Calibri" w:hAnsi="Calibri"/>
                <w:sz w:val="18"/>
                <w:szCs w:val="18"/>
              </w:rPr>
              <w:t xml:space="preserve"> au paiement (procédure §5.1.1.2)</w:t>
            </w:r>
          </w:p>
        </w:tc>
      </w:tr>
      <w:tr>
        <w:trPr>
          <w:cantSplit/>
        </w:trPr>
        <w:tc>
          <w:tcPr>
            <w:tcW w:type="dxa" w:w="1735"/>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Comptabilité</w:t>
            </w:r>
          </w:p>
        </w:tc>
        <w:tc>
          <w:tcPr>
            <w:tcW w:type="dxa" w:w="2891"/>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Absente</w:t>
            </w:r>
          </w:p>
        </w:tc>
        <w:tc>
          <w:tcPr>
            <w:tcW w:type="dxa" w:w="5012"/>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Imputation comptable et export Excel / CSV (M16) ; pas d'intégration Infor IE</w:t>
            </w:r>
          </w:p>
        </w:tc>
      </w:tr>
      <w:tr>
        <w:trPr>
          <w:cantSplit/>
        </w:trPr>
        <w:tc>
          <w:tcPr>
            <w:tcW w:type="dxa" w:w="1735"/>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Carburant</w:t>
            </w:r>
          </w:p>
        </w:tc>
        <w:tc>
          <w:tcPr>
            <w:tcW w:type="dxa" w:w="2891"/>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OCR « automatique »</w:t>
            </w:r>
          </w:p>
        </w:tc>
        <w:tc>
          <w:tcPr>
            <w:tcW w:type="dxa" w:w="5012"/>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Lecture OCR assistée par IA, validation champ par champ par l'utilisateur</w:t>
            </w:r>
          </w:p>
        </w:tc>
      </w:tr>
    </w:tbl>
    <w:p>
      <w:pPr>
        <w:spacing w:after="100"/>
      </w:pPr>
    </w:p>
    <w:p>
      <w:pPr>
        <w:pStyle w:val="Heading2"/>
      </w:pPr>
      <w:r>
        <w:t xml:space="preserve">Sommaire</w:t>
      </w:r>
    </w:p>
    <w:p>
      <w:pPr>
        <w:spacing w:after="40" w:before="0" w:line="276"/>
      </w:pPr>
      <w:r>
        <w:rPr>
          <w:rFonts w:ascii="Calibri" w:cs="Calibri" w:eastAsia="Calibri" w:hAnsi="Calibri"/>
          <w:sz w:val="21"/>
          <w:szCs w:val="21"/>
        </w:rPr>
        <w:t xml:space="preserve">1. Objet et mode d'emploi</w:t>
      </w:r>
    </w:p>
    <w:p>
      <w:pPr>
        <w:spacing w:after="40" w:before="0" w:line="276"/>
      </w:pPr>
      <w:r>
        <w:rPr>
          <w:rFonts w:ascii="Calibri" w:cs="Calibri" w:eastAsia="Calibri" w:hAnsi="Calibri"/>
          <w:sz w:val="21"/>
          <w:szCs w:val="21"/>
        </w:rPr>
        <w:t xml:space="preserve">2. Périmètre et lots</w:t>
      </w:r>
    </w:p>
    <w:p>
      <w:pPr>
        <w:spacing w:after="40" w:before="0" w:line="276"/>
      </w:pPr>
      <w:r>
        <w:rPr>
          <w:rFonts w:ascii="Calibri" w:cs="Calibri" w:eastAsia="Calibri" w:hAnsi="Calibri"/>
          <w:sz w:val="21"/>
          <w:szCs w:val="21"/>
        </w:rPr>
        <w:t xml:space="preserve">3. Acteurs et rôles</w:t>
      </w:r>
    </w:p>
    <w:p>
      <w:pPr>
        <w:spacing w:after="40" w:before="0" w:line="276"/>
      </w:pPr>
      <w:r>
        <w:rPr>
          <w:rFonts w:ascii="Calibri" w:cs="Calibri" w:eastAsia="Calibri" w:hAnsi="Calibri"/>
          <w:sz w:val="21"/>
          <w:szCs w:val="21"/>
        </w:rPr>
        <w:t xml:space="preserve">4. Carte des modules</w:t>
      </w:r>
    </w:p>
    <w:p>
      <w:pPr>
        <w:spacing w:after="40" w:before="0" w:line="276"/>
      </w:pPr>
      <w:r>
        <w:rPr>
          <w:rFonts w:ascii="Calibri" w:cs="Calibri" w:eastAsia="Calibri" w:hAnsi="Calibri"/>
          <w:sz w:val="21"/>
          <w:szCs w:val="21"/>
        </w:rPr>
        <w:t xml:space="preserve">5. Socle existant et anomalies</w:t>
      </w:r>
    </w:p>
    <w:p>
      <w:pPr>
        <w:spacing w:after="40" w:before="0" w:line="276"/>
      </w:pPr>
      <w:r>
        <w:rPr>
          <w:rFonts w:ascii="Calibri" w:cs="Calibri" w:eastAsia="Calibri" w:hAnsi="Calibri"/>
          <w:sz w:val="21"/>
          <w:szCs w:val="21"/>
        </w:rPr>
        <w:t xml:space="preserve">6. Référentiels et paramètres (M02)</w:t>
      </w:r>
    </w:p>
    <w:p>
      <w:pPr>
        <w:spacing w:after="40" w:before="0" w:line="276"/>
      </w:pPr>
      <w:r>
        <w:rPr>
          <w:rFonts w:ascii="Calibri" w:cs="Calibri" w:eastAsia="Calibri" w:hAnsi="Calibri"/>
          <w:sz w:val="21"/>
          <w:szCs w:val="21"/>
        </w:rPr>
        <w:t xml:space="preserve">7. Modules détaillés — M03, M08, M12, M13</w:t>
      </w:r>
    </w:p>
    <w:p>
      <w:pPr>
        <w:spacing w:after="40" w:before="0" w:line="276"/>
      </w:pPr>
      <w:r>
        <w:rPr>
          <w:rFonts w:ascii="Calibri" w:cs="Calibri" w:eastAsia="Calibri" w:hAnsi="Calibri"/>
          <w:sz w:val="21"/>
          <w:szCs w:val="21"/>
        </w:rPr>
        <w:t xml:space="preserve">8. Modules allégés — M01, M04, M05, M06, M07, M09, M10, M11, M14, M15, M16</w:t>
      </w:r>
    </w:p>
    <w:p>
      <w:pPr>
        <w:spacing w:after="40" w:before="0" w:line="276"/>
      </w:pPr>
      <w:r>
        <w:rPr>
          <w:rFonts w:ascii="Calibri" w:cs="Calibri" w:eastAsia="Calibri" w:hAnsi="Calibri"/>
          <w:sz w:val="21"/>
          <w:szCs w:val="21"/>
        </w:rPr>
        <w:t xml:space="preserve">9. Points ouverts et valeurs par défaut</w:t>
      </w:r>
    </w:p>
    <w:p>
      <w:pPr>
        <w:spacing w:after="40" w:before="0" w:line="276"/>
      </w:pPr>
      <w:r>
        <w:rPr>
          <w:rFonts w:ascii="Calibri" w:cs="Calibri" w:eastAsia="Calibri" w:hAnsi="Calibri"/>
          <w:sz w:val="21"/>
          <w:szCs w:val="21"/>
        </w:rPr>
        <w:t xml:space="preserve">10. Plan de livraison</w:t>
      </w:r>
    </w:p>
    <w:p>
      <w:pPr>
        <w:spacing w:after="40" w:before="0" w:line="276"/>
      </w:pPr>
      <w:r>
        <w:rPr>
          <w:rFonts w:ascii="Calibri" w:cs="Calibri" w:eastAsia="Calibri" w:hAnsi="Calibri"/>
          <w:sz w:val="21"/>
          <w:szCs w:val="21"/>
        </w:rPr>
        <w:t xml:space="preserve">Annexe A — Scénarios de test</w:t>
      </w:r>
    </w:p>
    <w:p>
      <w:pPr>
        <w:spacing w:after="40" w:before="0" w:line="276"/>
      </w:pPr>
      <w:r>
        <w:rPr>
          <w:rFonts w:ascii="Calibri" w:cs="Calibri" w:eastAsia="Calibri" w:hAnsi="Calibri"/>
          <w:sz w:val="21"/>
          <w:szCs w:val="21"/>
        </w:rPr>
        <w:t xml:space="preserve">Annexe B — Exemples de calcul ODM</w:t>
      </w:r>
    </w:p>
    <w:p>
      <w:pPr>
        <w:pStyle w:val="Heading1"/>
        <w:pageBreakBefore/>
      </w:pPr>
      <w:r>
        <w:t xml:space="preserve">1. Objet et mode d'emploi</w:t>
      </w:r>
    </w:p>
    <w:p>
      <w:pPr>
        <w:pStyle w:val="Heading2"/>
      </w:pPr>
      <w:r>
        <w:t xml:space="preserve">1.1 Objet</w:t>
      </w:r>
    </w:p>
    <w:p>
      <w:pPr>
        <w:spacing w:after="100" w:before="0" w:line="276"/>
      </w:pPr>
      <w:r>
        <w:rPr>
          <w:rFonts w:ascii="Calibri" w:cs="Calibri" w:eastAsia="Calibri" w:hAnsi="Calibri"/>
          <w:sz w:val="21"/>
          <w:szCs w:val="21"/>
        </w:rPr>
        <w:t xml:space="preserve">Ce document est la </w:t>
      </w:r>
      <w:r>
        <w:rPr>
          <w:rFonts w:ascii="Calibri" w:cs="Calibri" w:eastAsia="Calibri" w:hAnsi="Calibri"/>
          <w:b/>
          <w:bCs/>
          <w:sz w:val="21"/>
          <w:szCs w:val="21"/>
        </w:rPr>
        <w:t xml:space="preserve">référence unique</w:t>
      </w:r>
      <w:r>
        <w:rPr>
          <w:rFonts w:ascii="Calibri" w:cs="Calibri" w:eastAsia="Calibri" w:hAnsi="Calibri"/>
          <w:sz w:val="21"/>
          <w:szCs w:val="21"/>
        </w:rPr>
        <w:t xml:space="preserve"> pour le développement du Périmètre 2 de la plateforme Neemba. Il remplace la v1.1 et la v1.3. En cas de doute entre ce document et un échange oral ou un document antérieur, </w:t>
      </w:r>
      <w:r>
        <w:rPr>
          <w:rFonts w:ascii="Calibri" w:cs="Calibri" w:eastAsia="Calibri" w:hAnsi="Calibri"/>
          <w:b/>
          <w:bCs/>
          <w:sz w:val="21"/>
          <w:szCs w:val="21"/>
        </w:rPr>
        <w:t xml:space="preserve">ce document fait foi</w:t>
      </w:r>
      <w:r>
        <w:rPr>
          <w:rFonts w:ascii="Calibri" w:cs="Calibri" w:eastAsia="Calibri" w:hAnsi="Calibri"/>
          <w:sz w:val="21"/>
          <w:szCs w:val="21"/>
        </w:rPr>
        <w:t xml:space="preserve"> ; en cas de doute dans ce document, demander avant de coder.</w:t>
      </w:r>
    </w:p>
    <w:p>
      <w:pPr>
        <w:spacing w:after="100" w:before="0" w:line="276"/>
      </w:pPr>
      <w:r>
        <w:rPr>
          <w:rFonts w:ascii="Calibri" w:cs="Calibri" w:eastAsia="Calibri" w:hAnsi="Calibri"/>
          <w:sz w:val="21"/>
          <w:szCs w:val="21"/>
        </w:rPr>
        <w:t xml:space="preserve">Le Périmètre 2 couvre trois choses : intégrer les évolutions demandées sur la version de démonstration, ajouter la gestion des ordres de mission (ODM) et du carburant, et étendre la plateforme à toutes les caisses de Neemba Guinée avec les bonnes règles de gestion. Aucune caisse n'est encore en production.</w:t>
      </w:r>
    </w:p>
    <w:p>
      <w:pPr>
        <w:pStyle w:val="Heading2"/>
      </w:pPr>
      <w:r>
        <w:t xml:space="preserve">1.2 Comment lire ce document</w:t>
      </w:r>
    </w:p>
    <w:p>
      <w:pPr>
        <w:spacing w:after="100" w:before="0" w:line="276"/>
      </w:pPr>
      <w:r>
        <w:rPr>
          <w:rFonts w:ascii="Calibri" w:cs="Calibri" w:eastAsia="Calibri" w:hAnsi="Calibri"/>
          <w:sz w:val="21"/>
          <w:szCs w:val="21"/>
        </w:rPr>
        <w:t xml:space="preserve">Chaque règle porte un identifiant </w:t>
      </w:r>
      <w:r>
        <w:rPr>
          <w:rFonts w:ascii="Calibri" w:cs="Calibri" w:eastAsia="Calibri" w:hAnsi="Calibri"/>
          <w:b/>
          <w:bCs/>
          <w:sz w:val="21"/>
          <w:szCs w:val="21"/>
        </w:rPr>
        <w:t xml:space="preserve">RG-Mxx-nn</w:t>
      </w:r>
      <w:r>
        <w:rPr>
          <w:rFonts w:ascii="Calibri" w:cs="Calibri" w:eastAsia="Calibri" w:hAnsi="Calibri"/>
          <w:sz w:val="21"/>
          <w:szCs w:val="21"/>
        </w:rPr>
        <w:t xml:space="preserve"> (module, numéro) et un statut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4433"/>
        <w:gridCol w:w="3856"/>
      </w:tblGrid>
      <w:tr>
        <w:trPr>
          <w:tblHeader/>
        </w:trPr>
        <w:tc>
          <w:tcPr>
            <w:tcW w:type="dxa" w:w="1349"/>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Statut</w:t>
            </w:r>
          </w:p>
        </w:tc>
        <w:tc>
          <w:tcPr>
            <w:tcW w:type="dxa" w:w="4433"/>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Signification</w:t>
            </w:r>
          </w:p>
        </w:tc>
        <w:tc>
          <w:tcPr>
            <w:tcW w:type="dxa" w:w="3856"/>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Ce que fait le développeur</w:t>
            </w:r>
          </w:p>
        </w:tc>
      </w:tr>
      <w:tr>
        <w:trPr>
          <w:cantSplit/>
        </w:trPr>
        <w:tc>
          <w:tcPr>
            <w:tcW w:type="dxa" w:w="1349"/>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c>
          <w:tcPr>
            <w:tcW w:type="dxa" w:w="443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Règle confirmée par Neemba ou arbitrée par Addvalis.</w:t>
            </w:r>
          </w:p>
        </w:tc>
        <w:tc>
          <w:tcPr>
            <w:tcW w:type="dxa" w:w="3856"/>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Coder tel quel.</w:t>
            </w:r>
          </w:p>
        </w:tc>
      </w:tr>
      <w:tr>
        <w:trPr>
          <w:cantSplit/>
        </w:trPr>
        <w:tc>
          <w:tcPr>
            <w:tcW w:type="dxa" w:w="1349"/>
            <w:tcBorders>
              <w:top w:val="single" w:color="BFC7D5" w:sz="4"/>
              <w:left w:val="single" w:color="BFC7D5" w:sz="4"/>
              <w:bottom w:val="single" w:color="BFC7D5" w:sz="4"/>
              <w:right w:val="single" w:color="BFC7D5" w:sz="4"/>
            </w:tcBorders>
            <w:shd w:fill="FDEBD9" w:color="auto" w:val="clear"/>
            <w:tcMar>
              <w:top w:type="dxa" w:w="50"/>
              <w:left w:type="dxa" w:w="90"/>
              <w:bottom w:type="dxa" w:w="50"/>
              <w:right w:type="dxa" w:w="90"/>
            </w:tcMar>
            <w:vAlign w:val="top"/>
          </w:tcPr>
          <w:p>
            <w:pPr>
              <w:spacing w:after="20"/>
            </w:pPr>
            <w:r>
              <w:rPr>
                <w:rFonts w:ascii="Calibri" w:cs="Calibri" w:eastAsia="Calibri" w:hAnsi="Calibri"/>
                <w:color w:val="9A4A0B"/>
                <w:sz w:val="18"/>
                <w:szCs w:val="18"/>
              </w:rPr>
              <w:t xml:space="preserve">Défaut ⚠</w:t>
            </w:r>
          </w:p>
        </w:tc>
        <w:tc>
          <w:tcPr>
            <w:tcW w:type="dxa" w:w="443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Valeur ou option non encore confirmée par Neemba. Une valeur par défaut est fixée.</w:t>
            </w:r>
          </w:p>
        </w:tc>
        <w:tc>
          <w:tcPr>
            <w:tcW w:type="dxa" w:w="3856"/>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Coder </w:t>
            </w:r>
            <w:r>
              <w:rPr>
                <w:rFonts w:ascii="Calibri" w:cs="Calibri" w:eastAsia="Calibri" w:hAnsi="Calibri"/>
                <w:b/>
                <w:bCs/>
                <w:sz w:val="18"/>
                <w:szCs w:val="18"/>
              </w:rPr>
              <w:t xml:space="preserve">comme paramètre</w:t>
            </w:r>
            <w:r>
              <w:rPr>
                <w:rFonts w:ascii="Calibri" w:cs="Calibri" w:eastAsia="Calibri" w:hAnsi="Calibri"/>
                <w:sz w:val="18"/>
                <w:szCs w:val="18"/>
              </w:rPr>
              <w:t xml:space="preserve"> avec la valeur par défaut. Jamais en dur. La réponse de Neemba ne doit changer qu'un réglage.</w:t>
            </w:r>
          </w:p>
        </w:tc>
      </w:tr>
      <w:tr>
        <w:trPr>
          <w:cantSplit/>
        </w:trPr>
        <w:tc>
          <w:tcPr>
            <w:tcW w:type="dxa" w:w="1349"/>
            <w:tcBorders>
              <w:top w:val="single" w:color="BFC7D5" w:sz="4"/>
              <w:left w:val="single" w:color="BFC7D5" w:sz="4"/>
              <w:bottom w:val="single" w:color="BFC7D5" w:sz="4"/>
              <w:right w:val="single" w:color="BFC7D5" w:sz="4"/>
            </w:tcBorders>
            <w:shd w:fill="F9DEDE" w:color="auto" w:val="clear"/>
            <w:tcMar>
              <w:top w:type="dxa" w:w="50"/>
              <w:left w:type="dxa" w:w="90"/>
              <w:bottom w:type="dxa" w:w="50"/>
              <w:right w:type="dxa" w:w="90"/>
            </w:tcMar>
            <w:vAlign w:val="top"/>
          </w:tcPr>
          <w:p>
            <w:pPr>
              <w:spacing w:after="20"/>
            </w:pPr>
            <w:r>
              <w:rPr>
                <w:rFonts w:ascii="Calibri" w:cs="Calibri" w:eastAsia="Calibri" w:hAnsi="Calibri"/>
                <w:color w:val="A61B1B"/>
                <w:sz w:val="18"/>
                <w:szCs w:val="18"/>
              </w:rPr>
              <w:t xml:space="preserve">Ouvert</w:t>
            </w:r>
          </w:p>
        </w:tc>
        <w:tc>
          <w:tcPr>
            <w:tcW w:type="dxa" w:w="443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Question ouverte qui touche la conception.</w:t>
            </w:r>
          </w:p>
        </w:tc>
        <w:tc>
          <w:tcPr>
            <w:tcW w:type="dxa" w:w="3856"/>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Coder les variantes décrites, activables par paramètre, ou attendre si indiqué.</w:t>
            </w:r>
          </w:p>
        </w:tc>
      </w:tr>
    </w:tbl>
    <w:p>
      <w:pPr>
        <w:spacing w:after="100"/>
      </w:pPr>
    </w:p>
    <w:p>
      <w:pPr>
        <w:spacing w:after="100" w:before="0" w:line="276"/>
      </w:pPr>
      <w:r>
        <w:rPr>
          <w:rFonts w:ascii="Calibri" w:cs="Calibri" w:eastAsia="Calibri" w:hAnsi="Calibri"/>
          <w:sz w:val="21"/>
          <w:szCs w:val="21"/>
        </w:rPr>
        <w:t xml:space="preserve">Les modules sont décrits à deux niveaux :</w:t>
      </w:r>
    </w:p>
    <w:p>
      <w:pPr>
        <w:pStyle w:val="ListParagraph"/>
        <w:numPr>
          <w:ilvl w:val="0"/>
          <w:numId w:val="2"/>
        </w:numPr>
        <w:spacing w:after="60"/>
      </w:pPr>
      <w:r>
        <w:rPr>
          <w:rFonts w:ascii="Calibri" w:cs="Calibri" w:eastAsia="Calibri" w:hAnsi="Calibri"/>
          <w:b/>
          <w:bCs/>
          <w:sz w:val="21"/>
          <w:szCs w:val="21"/>
        </w:rPr>
        <w:t xml:space="preserve">Détaillé</w:t>
      </w:r>
      <w:r>
        <w:rPr>
          <w:rFonts w:ascii="Calibri" w:cs="Calibri" w:eastAsia="Calibri" w:hAnsi="Calibri"/>
          <w:sz w:val="21"/>
          <w:szCs w:val="21"/>
        </w:rPr>
        <w:t xml:space="preserve"> (M03, M08, M12, M13) : user stories, règles, messages, écrans. Ce sont les modules nouveaux ou profondément modifiés.</w:t>
      </w:r>
    </w:p>
    <w:p>
      <w:pPr>
        <w:pStyle w:val="ListParagraph"/>
        <w:numPr>
          <w:ilvl w:val="0"/>
          <w:numId w:val="2"/>
        </w:numPr>
        <w:spacing w:after="60"/>
      </w:pPr>
      <w:r>
        <w:rPr>
          <w:rFonts w:ascii="Calibri" w:cs="Calibri" w:eastAsia="Calibri" w:hAnsi="Calibri"/>
          <w:b/>
          <w:bCs/>
          <w:sz w:val="21"/>
          <w:szCs w:val="21"/>
        </w:rPr>
        <w:t xml:space="preserve">Allégé</w:t>
      </w:r>
      <w:r>
        <w:rPr>
          <w:rFonts w:ascii="Calibri" w:cs="Calibri" w:eastAsia="Calibri" w:hAnsi="Calibri"/>
          <w:sz w:val="21"/>
          <w:szCs w:val="21"/>
        </w:rPr>
        <w:t xml:space="preserve"> (autres modules) : écarts par rapport au socle existant et règles nouvelles uniquement.</w:t>
      </w:r>
    </w:p>
    <w:p>
      <w:pPr>
        <w:spacing w:after="100" w:before="0" w:line="276"/>
      </w:pPr>
      <w:r>
        <w:rPr>
          <w:rFonts w:ascii="Calibri" w:cs="Calibri" w:eastAsia="Calibri" w:hAnsi="Calibri"/>
          <w:sz w:val="21"/>
          <w:szCs w:val="21"/>
        </w:rPr>
        <w:t xml:space="preserve">Le </w:t>
      </w:r>
      <w:r>
        <w:rPr>
          <w:rFonts w:ascii="Calibri" w:cs="Calibri" w:eastAsia="Calibri" w:hAnsi="Calibri"/>
          <w:b/>
          <w:bCs/>
          <w:sz w:val="21"/>
          <w:szCs w:val="21"/>
        </w:rPr>
        <w:t xml:space="preserve">catalogue complet</w:t>
      </w:r>
      <w:r>
        <w:rPr>
          <w:rFonts w:ascii="Calibri" w:cs="Calibri" w:eastAsia="Calibri" w:hAnsi="Calibri"/>
          <w:sz w:val="21"/>
          <w:szCs w:val="21"/>
        </w:rPr>
        <w:t xml:space="preserve"> des règles, paramètres, messages et des 37 scénarios est livré à part (cahier des scénarios v1.1 en Word ; catalogue Excel), avec les mêmes identifiants.</w:t>
      </w:r>
    </w:p>
    <w:p>
      <w:pPr>
        <w:pStyle w:val="Heading2"/>
      </w:pPr>
      <w:r>
        <w:t xml:space="preserve">1.3 Sources de référence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41"/>
        <w:gridCol w:w="2313"/>
        <w:gridCol w:w="3084"/>
      </w:tblGrid>
      <w:tr>
        <w:trPr>
          <w:tblHeader/>
        </w:trPr>
        <w:tc>
          <w:tcPr>
            <w:tcW w:type="dxa" w:w="4241"/>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Source</w:t>
            </w:r>
          </w:p>
        </w:tc>
        <w:tc>
          <w:tcPr>
            <w:tcW w:type="dxa" w:w="2313"/>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Date</w:t>
            </w:r>
          </w:p>
        </w:tc>
        <w:tc>
          <w:tcPr>
            <w:tcW w:type="dxa" w:w="3084"/>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Apport</w:t>
            </w:r>
          </w:p>
        </w:tc>
      </w:tr>
      <w:tr>
        <w:trPr>
          <w:cantSplit/>
        </w:trPr>
        <w:tc>
          <w:tcPr>
            <w:tcW w:type="dxa" w:w="4241"/>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Procédure de gestion de caisse Neemba Guinée (VF, version 1.0)</w:t>
            </w:r>
          </w:p>
        </w:tc>
        <w:tc>
          <w:tcPr>
            <w:tcW w:type="dxa" w:w="231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Approuvée le 19/11/2025 ; relue intégralement le 07/10/2026</w:t>
            </w:r>
          </w:p>
        </w:tc>
        <w:tc>
          <w:tcPr>
            <w:tcW w:type="dxa" w:w="3084"/>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Référence principale : circuit, plafonds, BP, encaissements, inventaires, Annexes 1 à 3</w:t>
            </w:r>
          </w:p>
        </w:tc>
      </w:tr>
      <w:tr>
        <w:trPr>
          <w:cantSplit/>
        </w:trPr>
        <w:tc>
          <w:tcPr>
            <w:tcW w:type="dxa" w:w="4241"/>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Mails Neemba (M. Camara, M. Barry)</w:t>
            </w:r>
          </w:p>
        </w:tc>
        <w:tc>
          <w:tcPr>
            <w:tcW w:type="dxa" w:w="231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02/09 et 09/09/2026</w:t>
            </w:r>
          </w:p>
        </w:tc>
        <w:tc>
          <w:tcPr>
            <w:tcW w:type="dxa" w:w="3084"/>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Référentiels, barèmes ODM, frais OM</w:t>
            </w:r>
          </w:p>
        </w:tc>
      </w:tr>
      <w:tr>
        <w:trPr>
          <w:cantSplit/>
        </w:trPr>
        <w:tc>
          <w:tcPr>
            <w:tcW w:type="dxa" w:w="4241"/>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Séance ODM et suivi PMO</w:t>
            </w:r>
          </w:p>
        </w:tc>
        <w:tc>
          <w:tcPr>
            <w:tcW w:type="dxa" w:w="231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29/09/2026</w:t>
            </w:r>
          </w:p>
        </w:tc>
        <w:tc>
          <w:tcPr>
            <w:tcW w:type="dxa" w:w="3084"/>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Paliers OM, déclencheurs ODM, carburant</w:t>
            </w:r>
          </w:p>
        </w:tc>
      </w:tr>
      <w:tr>
        <w:trPr>
          <w:cantSplit/>
        </w:trPr>
        <w:tc>
          <w:tcPr>
            <w:tcW w:type="dxa" w:w="4241"/>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Fiches ODM N°282 et N°285/AT/26, caisse Atelier, tickets carburant</w:t>
            </w:r>
          </w:p>
        </w:tc>
        <w:tc>
          <w:tcPr>
            <w:tcW w:type="dxa" w:w="231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Reçus le 05/10/2026</w:t>
            </w:r>
          </w:p>
        </w:tc>
        <w:tc>
          <w:tcPr>
            <w:tcW w:type="dxa" w:w="3084"/>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Modèle de fiche, calculs, avance fixe Atelier</w:t>
            </w:r>
          </w:p>
        </w:tc>
      </w:tr>
      <w:tr>
        <w:trPr>
          <w:cantSplit/>
        </w:trPr>
        <w:tc>
          <w:tcPr>
            <w:tcW w:type="dxa" w:w="4241"/>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Comité hebdomadaire</w:t>
            </w:r>
          </w:p>
        </w:tc>
        <w:tc>
          <w:tcPr>
            <w:tcW w:type="dxa" w:w="231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06/10/2026</w:t>
            </w:r>
          </w:p>
        </w:tc>
        <w:tc>
          <w:tcPr>
            <w:tcW w:type="dxa" w:w="3084"/>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Plafonds de retrait, circuit ODM, correspondances de sites</w:t>
            </w:r>
          </w:p>
        </w:tc>
      </w:tr>
      <w:tr>
        <w:trPr>
          <w:cantSplit/>
        </w:trPr>
        <w:tc>
          <w:tcPr>
            <w:tcW w:type="dxa" w:w="4241"/>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Fil « Neemba Service_Mission » (prolongation &gt; 30 jours)</w:t>
            </w:r>
          </w:p>
        </w:tc>
        <w:tc>
          <w:tcPr>
            <w:tcW w:type="dxa" w:w="231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Reçu le 06/10/2026</w:t>
            </w:r>
          </w:p>
        </w:tc>
        <w:tc>
          <w:tcPr>
            <w:tcW w:type="dxa" w:w="3084"/>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Modèle de prolongation, OR, carburant de mission</w:t>
            </w:r>
          </w:p>
        </w:tc>
      </w:tr>
      <w:tr>
        <w:trPr>
          <w:cantSplit/>
        </w:trPr>
        <w:tc>
          <w:tcPr>
            <w:tcW w:type="dxa" w:w="4241"/>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Arbitrages Addvalis</w:t>
            </w:r>
          </w:p>
        </w:tc>
        <w:tc>
          <w:tcPr>
            <w:tcW w:type="dxa" w:w="231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07/10/2026</w:t>
            </w:r>
          </w:p>
        </w:tc>
        <w:tc>
          <w:tcPr>
            <w:tcW w:type="dxa" w:w="3084"/>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Services, OM, nuitées, tiers, BP, justificatifs</w:t>
            </w:r>
          </w:p>
        </w:tc>
      </w:tr>
      <w:tr>
        <w:trPr>
          <w:cantSplit/>
        </w:trPr>
        <w:tc>
          <w:tcPr>
            <w:tcW w:type="dxa" w:w="4241"/>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Spécification technique v1.2 (Addvalis)</w:t>
            </w:r>
          </w:p>
        </w:tc>
        <w:tc>
          <w:tcPr>
            <w:tcW w:type="dxa" w:w="231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05/10/2026</w:t>
            </w:r>
          </w:p>
        </w:tc>
        <w:tc>
          <w:tcPr>
            <w:tcW w:type="dxa" w:w="3084"/>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Motifs de rejet, format du rapport journalier, contrôles des pièces, cibles de performance ; remplacée par la v1.3 alignée sur ce document</w:t>
            </w:r>
          </w:p>
        </w:tc>
      </w:tr>
    </w:tbl>
    <w:p>
      <w:pPr>
        <w:spacing w:after="100"/>
      </w:pPr>
    </w:p>
    <w:p>
      <w:pPr>
        <w:pStyle w:val="Heading2"/>
      </w:pPr>
      <w:r>
        <w:t xml:space="preserve">1.4 Règles de priorité</w:t>
      </w:r>
    </w:p>
    <w:p>
      <w:pPr>
        <w:pStyle w:val="ListParagraph"/>
        <w:numPr>
          <w:ilvl w:val="0"/>
          <w:numId w:val="3"/>
        </w:numPr>
        <w:spacing w:after="60"/>
      </w:pPr>
      <w:r>
        <w:rPr>
          <w:rFonts w:ascii="Calibri" w:cs="Calibri" w:eastAsia="Calibri" w:hAnsi="Calibri"/>
          <w:b/>
          <w:bCs/>
          <w:sz w:val="21"/>
          <w:szCs w:val="21"/>
        </w:rPr>
        <w:t xml:space="preserve">La procédure VF fait foi.</w:t>
      </w:r>
      <w:r>
        <w:rPr>
          <w:rFonts w:ascii="Calibri" w:cs="Calibri" w:eastAsia="Calibri" w:hAnsi="Calibri"/>
          <w:sz w:val="21"/>
          <w:szCs w:val="21"/>
        </w:rPr>
        <w:t xml:space="preserve"> Seule exception retenue : le seuil du Directeur Pays à 1 500 000 GNF porté par l'Annexe 1, au lieu des 5 000 000 GNF du texte du §5.2.1.2.</w:t>
      </w:r>
    </w:p>
    <w:p>
      <w:pPr>
        <w:pStyle w:val="ListParagraph"/>
        <w:numPr>
          <w:ilvl w:val="0"/>
          <w:numId w:val="3"/>
        </w:numPr>
        <w:spacing w:after="60"/>
      </w:pPr>
      <w:r>
        <w:rPr>
          <w:rFonts w:ascii="Calibri" w:cs="Calibri" w:eastAsia="Calibri" w:hAnsi="Calibri"/>
          <w:sz w:val="21"/>
          <w:szCs w:val="21"/>
        </w:rPr>
        <w:t xml:space="preserve">Une contradiction entre deux sources Neemba n'est </w:t>
      </w:r>
      <w:r>
        <w:rPr>
          <w:rFonts w:ascii="Calibri" w:cs="Calibri" w:eastAsia="Calibri" w:hAnsi="Calibri"/>
          <w:b/>
          <w:bCs/>
          <w:sz w:val="21"/>
          <w:szCs w:val="21"/>
        </w:rPr>
        <w:t xml:space="preserve">jamais tranchée dans le code</w:t>
      </w:r>
      <w:r>
        <w:rPr>
          <w:rFonts w:ascii="Calibri" w:cs="Calibri" w:eastAsia="Calibri" w:hAnsi="Calibri"/>
          <w:sz w:val="21"/>
          <w:szCs w:val="21"/>
        </w:rPr>
        <w:t xml:space="preserve"> : elle devient un paramètre ⚠ et remonte à Thierno.</w:t>
      </w:r>
    </w:p>
    <w:p>
      <w:pPr>
        <w:pStyle w:val="ListParagraph"/>
        <w:numPr>
          <w:ilvl w:val="0"/>
          <w:numId w:val="3"/>
        </w:numPr>
        <w:spacing w:after="60"/>
      </w:pPr>
      <w:r>
        <w:rPr>
          <w:rFonts w:ascii="Calibri" w:cs="Calibri" w:eastAsia="Calibri" w:hAnsi="Calibri"/>
          <w:sz w:val="21"/>
          <w:szCs w:val="21"/>
        </w:rPr>
        <w:t xml:space="preserve">Aucun seuil, plafond, taux, barème ni délai n'est codé en dur. Tout passe par l'écran de paramétrage (M02), avec historique et date d'effet.</w:t>
      </w:r>
    </w:p>
    <w:p>
      <w:pPr>
        <w:pStyle w:val="Heading1"/>
        <w:pageBreakBefore/>
      </w:pPr>
      <w:r>
        <w:t xml:space="preserve">2. Périmètre et lots</w:t>
      </w:r>
    </w:p>
    <w:p>
      <w:pPr>
        <w:pStyle w:val="Heading2"/>
      </w:pPr>
      <w:r>
        <w:t xml:space="preserve">2.1 Dans le périmètre</w:t>
      </w:r>
    </w:p>
    <w:p>
      <w:pPr>
        <w:pStyle w:val="ListParagraph"/>
        <w:numPr>
          <w:ilvl w:val="0"/>
          <w:numId w:val="2"/>
        </w:numPr>
        <w:spacing w:after="60"/>
      </w:pPr>
      <w:r>
        <w:rPr>
          <w:rFonts w:ascii="Calibri" w:cs="Calibri" w:eastAsia="Calibri" w:hAnsi="Calibri"/>
          <w:sz w:val="21"/>
          <w:szCs w:val="21"/>
        </w:rPr>
        <w:t xml:space="preserve">Entité </w:t>
      </w:r>
      <w:r>
        <w:rPr>
          <w:rFonts w:ascii="Calibri" w:cs="Calibri" w:eastAsia="Calibri" w:hAnsi="Calibri"/>
          <w:b/>
          <w:bCs/>
          <w:sz w:val="21"/>
          <w:szCs w:val="21"/>
        </w:rPr>
        <w:t xml:space="preserve">Neemba Guinée</w:t>
      </w:r>
      <w:r>
        <w:rPr>
          <w:rFonts w:ascii="Calibri" w:cs="Calibri" w:eastAsia="Calibri" w:hAnsi="Calibri"/>
          <w:sz w:val="21"/>
          <w:szCs w:val="21"/>
        </w:rPr>
        <w:t xml:space="preserve">. L'inclusion de Neemba Mining (dont Simandou) est en attente de réponse : prévoir un champ « Entité » sur les utilisateurs, caisses et bons, avec une seule valeur active.</w:t>
      </w:r>
    </w:p>
    <w:p>
      <w:pPr>
        <w:pStyle w:val="ListParagraph"/>
        <w:numPr>
          <w:ilvl w:val="0"/>
          <w:numId w:val="2"/>
        </w:numPr>
        <w:spacing w:after="60"/>
      </w:pPr>
      <w:r>
        <w:rPr>
          <w:rFonts w:ascii="Calibri" w:cs="Calibri" w:eastAsia="Calibri" w:hAnsi="Calibri"/>
          <w:sz w:val="21"/>
          <w:szCs w:val="21"/>
        </w:rPr>
        <w:t xml:space="preserve">Bons de caisse définitifs (BD) et provisoires (BP), de la saisie à l'archivage.</w:t>
      </w:r>
    </w:p>
    <w:p>
      <w:pPr>
        <w:pStyle w:val="ListParagraph"/>
        <w:numPr>
          <w:ilvl w:val="0"/>
          <w:numId w:val="2"/>
        </w:numPr>
        <w:spacing w:after="60"/>
      </w:pPr>
      <w:r>
        <w:rPr>
          <w:rFonts w:ascii="Calibri" w:cs="Calibri" w:eastAsia="Calibri" w:hAnsi="Calibri"/>
          <w:sz w:val="21"/>
          <w:szCs w:val="21"/>
        </w:rPr>
        <w:t xml:space="preserve">Les 8 caisses de Neemba Guinée (voir §6.1), dont la caisse monétaire Orange Money.</w:t>
      </w:r>
    </w:p>
    <w:p>
      <w:pPr>
        <w:pStyle w:val="ListParagraph"/>
        <w:numPr>
          <w:ilvl w:val="0"/>
          <w:numId w:val="2"/>
        </w:numPr>
        <w:spacing w:after="60"/>
      </w:pPr>
      <w:r>
        <w:rPr>
          <w:rFonts w:ascii="Calibri" w:cs="Calibri" w:eastAsia="Calibri" w:hAnsi="Calibri"/>
          <w:sz w:val="21"/>
          <w:szCs w:val="21"/>
        </w:rPr>
        <w:t xml:space="preserve">Ordres de mission intérieurs et extérieurs, prolongations, génération des bons de caisse.</w:t>
      </w:r>
    </w:p>
    <w:p>
      <w:pPr>
        <w:pStyle w:val="ListParagraph"/>
        <w:numPr>
          <w:ilvl w:val="0"/>
          <w:numId w:val="2"/>
        </w:numPr>
        <w:spacing w:after="60"/>
      </w:pPr>
      <w:r>
        <w:rPr>
          <w:rFonts w:ascii="Calibri" w:cs="Calibri" w:eastAsia="Calibri" w:hAnsi="Calibri"/>
          <w:sz w:val="21"/>
          <w:szCs w:val="21"/>
        </w:rPr>
        <w:t xml:space="preserve">Avances carburant, lecture des tickets, régularisation.</w:t>
      </w:r>
    </w:p>
    <w:p>
      <w:pPr>
        <w:pStyle w:val="ListParagraph"/>
        <w:numPr>
          <w:ilvl w:val="0"/>
          <w:numId w:val="2"/>
        </w:numPr>
        <w:spacing w:after="60"/>
      </w:pPr>
      <w:r>
        <w:rPr>
          <w:rFonts w:ascii="Calibri" w:cs="Calibri" w:eastAsia="Calibri" w:hAnsi="Calibri"/>
          <w:sz w:val="21"/>
          <w:szCs w:val="21"/>
        </w:rPr>
        <w:t xml:space="preserve">Tableaux de bord, rapport journalier, archivage, journal d'audit.</w:t>
      </w:r>
    </w:p>
    <w:p>
      <w:pPr>
        <w:pStyle w:val="Heading2"/>
      </w:pPr>
      <w:r>
        <w:t xml:space="preserve">2.2 Hors périmètre</w:t>
      </w:r>
    </w:p>
    <w:p>
      <w:pPr>
        <w:pStyle w:val="ListParagraph"/>
        <w:numPr>
          <w:ilvl w:val="0"/>
          <w:numId w:val="2"/>
        </w:numPr>
        <w:spacing w:after="60"/>
      </w:pPr>
      <w:r>
        <w:rPr>
          <w:rFonts w:ascii="Calibri" w:cs="Calibri" w:eastAsia="Calibri" w:hAnsi="Calibri"/>
          <w:sz w:val="21"/>
          <w:szCs w:val="21"/>
        </w:rPr>
        <w:t xml:space="preserve">Périmètre 3 : dédoublonnage des ODM avec Salesforce, intégration ERP Infor, réapprovisionnement prédictif.</w:t>
      </w:r>
    </w:p>
    <w:p>
      <w:pPr>
        <w:pStyle w:val="ListParagraph"/>
        <w:numPr>
          <w:ilvl w:val="0"/>
          <w:numId w:val="2"/>
        </w:numPr>
        <w:spacing w:after="60"/>
      </w:pPr>
      <w:r>
        <w:rPr>
          <w:rFonts w:ascii="Calibri" w:cs="Calibri" w:eastAsia="Calibri" w:hAnsi="Calibri"/>
          <w:sz w:val="21"/>
          <w:szCs w:val="21"/>
        </w:rPr>
        <w:t xml:space="preserve">Billets d'avion : réservés via le prestataire sous contrat et payés par bon de commande (Wanda), hors circuit ODM.</w:t>
      </w:r>
    </w:p>
    <w:p>
      <w:pPr>
        <w:pStyle w:val="ListParagraph"/>
        <w:numPr>
          <w:ilvl w:val="0"/>
          <w:numId w:val="2"/>
        </w:numPr>
        <w:spacing w:after="60"/>
      </w:pPr>
      <w:r>
        <w:rPr>
          <w:rFonts w:ascii="Calibri" w:cs="Calibri" w:eastAsia="Calibri" w:hAnsi="Calibri"/>
          <w:sz w:val="21"/>
          <w:szCs w:val="21"/>
        </w:rPr>
        <w:t xml:space="preserve">Neemba Finance Guinée (pas de bons de caisse).</w:t>
      </w:r>
    </w:p>
    <w:p>
      <w:pPr>
        <w:pStyle w:val="ListParagraph"/>
        <w:numPr>
          <w:ilvl w:val="0"/>
          <w:numId w:val="2"/>
        </w:numPr>
        <w:spacing w:after="60"/>
      </w:pPr>
      <w:r>
        <w:rPr>
          <w:rFonts w:ascii="Calibri" w:cs="Calibri" w:eastAsia="Calibri" w:hAnsi="Calibri"/>
          <w:sz w:val="21"/>
          <w:szCs w:val="21"/>
        </w:rPr>
        <w:t xml:space="preserve">Refacturation inter-filiales (hébergement à l'étranger) : tracée comme évolution future, non développée.</w:t>
      </w:r>
    </w:p>
    <w:p>
      <w:pPr>
        <w:pStyle w:val="Heading2"/>
      </w:pPr>
      <w:r>
        <w:t xml:space="preserve">2.3 Exigences générales</w:t>
      </w:r>
    </w:p>
    <w:p>
      <w:pPr>
        <w:pStyle w:val="ListParagraph"/>
        <w:numPr>
          <w:ilvl w:val="0"/>
          <w:numId w:val="2"/>
        </w:numPr>
        <w:spacing w:after="60"/>
      </w:pPr>
      <w:r>
        <w:rPr>
          <w:rFonts w:ascii="Calibri" w:cs="Calibri" w:eastAsia="Calibri" w:hAnsi="Calibri"/>
          <w:b/>
          <w:bCs/>
          <w:sz w:val="21"/>
          <w:szCs w:val="21"/>
        </w:rPr>
        <w:t xml:space="preserve">Mobile et poste fixe</w:t>
      </w:r>
      <w:r>
        <w:rPr>
          <w:rFonts w:ascii="Calibri" w:cs="Calibri" w:eastAsia="Calibri" w:hAnsi="Calibri"/>
          <w:sz w:val="21"/>
          <w:szCs w:val="21"/>
        </w:rPr>
        <w:t xml:space="preserve"> : toutes les fonctions sont utilisables sur smartphone, tablette et ordinateur (affichage adaptatif). Navigateurs récents (Chrome, Edge, Safari, Firefox).</w:t>
      </w:r>
    </w:p>
    <w:p>
      <w:pPr>
        <w:pStyle w:val="ListParagraph"/>
        <w:numPr>
          <w:ilvl w:val="0"/>
          <w:numId w:val="2"/>
        </w:numPr>
        <w:spacing w:after="60"/>
      </w:pPr>
      <w:r>
        <w:rPr>
          <w:rFonts w:ascii="Calibri" w:cs="Calibri" w:eastAsia="Calibri" w:hAnsi="Calibri"/>
          <w:b/>
          <w:bCs/>
          <w:sz w:val="21"/>
          <w:szCs w:val="21"/>
        </w:rPr>
        <w:t xml:space="preserve">Saisie hors ligne (P3)</w:t>
      </w:r>
      <w:r>
        <w:rPr>
          <w:rFonts w:ascii="Calibri" w:cs="Calibri" w:eastAsia="Calibri" w:hAnsi="Calibri"/>
          <w:sz w:val="21"/>
          <w:szCs w:val="21"/>
        </w:rPr>
        <w:t xml:space="preserve"> : sans réseau, l'utilisateur peut préparer un bon ou un ODM en brouillon et photographier tickets et justificatifs ; l'envoi se fait automatiquement au retour du réseau. </w:t>
      </w:r>
      <w:r>
        <w:rPr>
          <w:rFonts w:ascii="Calibri" w:cs="Calibri" w:eastAsia="Calibri" w:hAnsi="Calibri"/>
          <w:b/>
          <w:bCs/>
          <w:sz w:val="21"/>
          <w:szCs w:val="21"/>
        </w:rPr>
        <w:t xml:space="preserve">Jamais hors ligne</w:t>
      </w:r>
      <w:r>
        <w:rPr>
          <w:rFonts w:ascii="Calibri" w:cs="Calibri" w:eastAsia="Calibri" w:hAnsi="Calibri"/>
          <w:sz w:val="21"/>
          <w:szCs w:val="21"/>
        </w:rPr>
        <w:t xml:space="preserve"> : validation, paiement, contrôles de plafond, de solde et de doublon. Mise en œuvre sous forme d'application web installable (PWA).</w:t>
      </w:r>
    </w:p>
    <w:p>
      <w:pPr>
        <w:pStyle w:val="ListParagraph"/>
        <w:numPr>
          <w:ilvl w:val="0"/>
          <w:numId w:val="2"/>
        </w:numPr>
        <w:spacing w:after="60"/>
      </w:pPr>
      <w:r>
        <w:rPr>
          <w:rFonts w:ascii="Calibri" w:cs="Calibri" w:eastAsia="Calibri" w:hAnsi="Calibri"/>
          <w:b/>
          <w:bCs/>
          <w:sz w:val="21"/>
          <w:szCs w:val="21"/>
        </w:rPr>
        <w:t xml:space="preserve">Reprise des données au passage en réel</w:t>
      </w:r>
      <w:r>
        <w:rPr>
          <w:rFonts w:ascii="Calibri" w:cs="Calibri" w:eastAsia="Calibri" w:hAnsi="Calibri"/>
          <w:sz w:val="21"/>
          <w:szCs w:val="21"/>
        </w:rPr>
        <w:t xml:space="preserve"> : fournie par Neemba avant S5 — solde d'ouverture de chaque caisse (PV d'arrêté signé), BP papier en cours, dernier numéro de chaque carnet, ODM en cours, utilisateurs, signataires habilités, délégations et suppléants. La plateforme prévoit un import contrôlé de ces données, validé par le Chef comptable.</w:t>
      </w:r>
    </w:p>
    <w:p>
      <w:pPr>
        <w:pStyle w:val="ListParagraph"/>
        <w:numPr>
          <w:ilvl w:val="0"/>
          <w:numId w:val="2"/>
        </w:numPr>
        <w:spacing w:after="60"/>
      </w:pPr>
      <w:r>
        <w:rPr>
          <w:rFonts w:ascii="Calibri" w:cs="Calibri" w:eastAsia="Calibri" w:hAnsi="Calibri"/>
          <w:b/>
          <w:bCs/>
          <w:sz w:val="21"/>
          <w:szCs w:val="21"/>
        </w:rPr>
        <w:t xml:space="preserve">Performance</w:t>
      </w:r>
      <w:r>
        <w:rPr>
          <w:rFonts w:ascii="Calibri" w:cs="Calibri" w:eastAsia="Calibri" w:hAnsi="Calibri"/>
          <w:sz w:val="21"/>
          <w:szCs w:val="21"/>
        </w:rPr>
        <w:t xml:space="preserve"> : soumission d'un bon &lt; 3 s ; lecture d'un ticket &lt; 25 s ; rapport journalier &lt; 60 s ; 50 utilisateurs simultanés.</w:t>
      </w:r>
    </w:p>
    <w:p>
      <w:pPr>
        <w:pStyle w:val="ListParagraph"/>
        <w:numPr>
          <w:ilvl w:val="0"/>
          <w:numId w:val="2"/>
        </w:numPr>
        <w:spacing w:after="60"/>
      </w:pPr>
      <w:r>
        <w:rPr>
          <w:rFonts w:ascii="Calibri" w:cs="Calibri" w:eastAsia="Calibri" w:hAnsi="Calibri"/>
          <w:b/>
          <w:bCs/>
          <w:sz w:val="21"/>
          <w:szCs w:val="21"/>
        </w:rPr>
        <w:t xml:space="preserve">Hors périmètre signé</w:t>
      </w:r>
      <w:r>
        <w:rPr>
          <w:rFonts w:ascii="Calibri" w:cs="Calibri" w:eastAsia="Calibri" w:hAnsi="Calibri"/>
          <w:sz w:val="21"/>
          <w:szCs w:val="21"/>
        </w:rPr>
        <w:t xml:space="preserve"> : intégration ou format d'import Infor IE, API Orange Money, croisement Salesforce, refacturation inter-filiales.</w:t>
      </w:r>
    </w:p>
    <w:p>
      <w:pPr>
        <w:pStyle w:val="Heading2"/>
      </w:pPr>
      <w:r>
        <w:t xml:space="preserve">2.4 Lots et objectif de livraison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5012"/>
        <w:gridCol w:w="2120"/>
        <w:gridCol w:w="1735"/>
      </w:tblGrid>
      <w:tr>
        <w:trPr>
          <w:tblHeader/>
        </w:trPr>
        <w:tc>
          <w:tcPr>
            <w:tcW w:type="dxa" w:w="771"/>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Lot</w:t>
            </w:r>
          </w:p>
        </w:tc>
        <w:tc>
          <w:tcPr>
            <w:tcW w:type="dxa" w:w="5012"/>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Contenu</w:t>
            </w:r>
          </w:p>
        </w:tc>
        <w:tc>
          <w:tcPr>
            <w:tcW w:type="dxa" w:w="2120"/>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Modules</w:t>
            </w:r>
          </w:p>
        </w:tc>
        <w:tc>
          <w:tcPr>
            <w:tcW w:type="dxa" w:w="1735"/>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Objectif</w:t>
            </w:r>
          </w:p>
        </w:tc>
      </w:tr>
      <w:tr>
        <w:trPr>
          <w:cantSplit/>
        </w:trPr>
        <w:tc>
          <w:tcPr>
            <w:tcW w:type="dxa" w:w="771"/>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P1</w:t>
            </w:r>
          </w:p>
        </w:tc>
        <w:tc>
          <w:tcPr>
            <w:tcW w:type="dxa" w:w="5012"/>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Passage en réel à Conakry : corrections du socle, bons de caisse, caisses, clôture, reporting</w:t>
            </w:r>
          </w:p>
        </w:tc>
        <w:tc>
          <w:tcPr>
            <w:tcW w:type="dxa" w:w="2120"/>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M01–M11, M14 à M16</w:t>
            </w:r>
          </w:p>
        </w:tc>
        <w:tc>
          <w:tcPr>
            <w:tcW w:type="dxa" w:w="1735"/>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Fin S5</w:t>
            </w:r>
          </w:p>
        </w:tc>
      </w:tr>
      <w:tr>
        <w:trPr>
          <w:cantSplit/>
        </w:trPr>
        <w:tc>
          <w:tcPr>
            <w:tcW w:type="dxa" w:w="771"/>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P2</w:t>
            </w:r>
          </w:p>
        </w:tc>
        <w:tc>
          <w:tcPr>
            <w:tcW w:type="dxa" w:w="5012"/>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ODM et carburant</w:t>
            </w:r>
          </w:p>
        </w:tc>
        <w:tc>
          <w:tcPr>
            <w:tcW w:type="dxa" w:w="2120"/>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M12, M13</w:t>
            </w:r>
          </w:p>
        </w:tc>
        <w:tc>
          <w:tcPr>
            <w:tcW w:type="dxa" w:w="1735"/>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Fin S7</w:t>
            </w:r>
          </w:p>
        </w:tc>
      </w:tr>
      <w:tr>
        <w:trPr>
          <w:cantSplit/>
        </w:trPr>
        <w:tc>
          <w:tcPr>
            <w:tcW w:type="dxa" w:w="771"/>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P3</w:t>
            </w:r>
          </w:p>
        </w:tc>
        <w:tc>
          <w:tcPr>
            <w:tcW w:type="dxa" w:w="5012"/>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Extension aux caisses de site, saisie hors ligne, recette d'ensemble</w:t>
            </w:r>
          </w:p>
        </w:tc>
        <w:tc>
          <w:tcPr>
            <w:tcW w:type="dxa" w:w="2120"/>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Paramétrage + M08 + PWA</w:t>
            </w:r>
          </w:p>
        </w:tc>
        <w:tc>
          <w:tcPr>
            <w:tcW w:type="dxa" w:w="1735"/>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Fin S8</w:t>
            </w:r>
          </w:p>
        </w:tc>
      </w:tr>
    </w:tbl>
    <w:p>
      <w:pPr>
        <w:spacing w:after="100"/>
      </w:pPr>
    </w:p>
    <w:p>
      <w:pPr>
        <w:spacing w:after="120"/>
      </w:pPr>
      <w:r>
        <w:rPr>
          <w:rFonts w:ascii="Calibri" w:cs="Calibri" w:eastAsia="Calibri" w:hAnsi="Calibri"/>
          <w:i/>
          <w:iCs/>
          <w:color w:val="555555"/>
          <w:sz w:val="19"/>
          <w:szCs w:val="19"/>
        </w:rPr>
        <w:t xml:space="preserve">S1 = semaine de remise de cette spécification (semaine du 12/10/2026). Objectif global : 8 semaines. Le détail est au chapitre 10.</w:t>
      </w:r>
    </w:p>
    <w:p>
      <w:pPr>
        <w:pStyle w:val="Heading1"/>
        <w:pageBreakBefore/>
      </w:pPr>
      <w:r>
        <w:t xml:space="preserve">3. Acteurs et rôles</w:t>
      </w:r>
    </w:p>
    <w:p>
      <w:pPr>
        <w:spacing w:after="100" w:before="0" w:line="276"/>
      </w:pPr>
      <w:r>
        <w:rPr>
          <w:rFonts w:ascii="Calibri" w:cs="Calibri" w:eastAsia="Calibri" w:hAnsi="Calibri"/>
          <w:sz w:val="21"/>
          <w:szCs w:val="21"/>
        </w:rPr>
        <w:t xml:space="preserve">Un utilisateur peut cumuler plusieurs rôles, sauf incompatibilité (RG-M01-04). Tous les comptes utilisent le domaine </w:t>
      </w:r>
      <w:r>
        <w:rPr>
          <w:rFonts w:ascii="Calibri" w:cs="Calibri" w:eastAsia="Calibri" w:hAnsi="Calibri"/>
          <w:b/>
          <w:bCs/>
          <w:sz w:val="21"/>
          <w:szCs w:val="21"/>
        </w:rPr>
        <w:t xml:space="preserve">neemba.com</w:t>
      </w:r>
      <w:r>
        <w:rPr>
          <w:rFonts w:ascii="Calibri" w:cs="Calibri" w:eastAsia="Calibri" w:hAnsi="Calibri"/>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2313"/>
        <w:gridCol w:w="5012"/>
      </w:tblGrid>
      <w:tr>
        <w:trPr>
          <w:tblHeader/>
        </w:trPr>
        <w:tc>
          <w:tcPr>
            <w:tcW w:type="dxa" w:w="2313"/>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Rôle</w:t>
            </w:r>
          </w:p>
        </w:tc>
        <w:tc>
          <w:tcPr>
            <w:tcW w:type="dxa" w:w="2313"/>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Qui</w:t>
            </w:r>
          </w:p>
        </w:tc>
        <w:tc>
          <w:tcPr>
            <w:tcW w:type="dxa" w:w="5012"/>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Droits principaux</w:t>
            </w:r>
          </w:p>
        </w:tc>
      </w:tr>
      <w:tr>
        <w:trPr>
          <w:cantSplit/>
        </w:trPr>
        <w:tc>
          <w:tcPr>
            <w:tcW w:type="dxa" w:w="231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Demandeur</w:t>
            </w:r>
          </w:p>
        </w:tc>
        <w:tc>
          <w:tcPr>
            <w:tcW w:type="dxa" w:w="231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Tout salarié habilité</w:t>
            </w:r>
          </w:p>
        </w:tc>
        <w:tc>
          <w:tcPr>
            <w:tcW w:type="dxa" w:w="5012"/>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Crée des bons et des ODM, propose des tiers, saisit ses tickets carburant, régularise ses BP</w:t>
            </w:r>
          </w:p>
        </w:tc>
      </w:tr>
      <w:tr>
        <w:trPr>
          <w:cantSplit/>
        </w:trPr>
        <w:tc>
          <w:tcPr>
            <w:tcW w:type="dxa" w:w="231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Responsable de service</w:t>
            </w:r>
          </w:p>
        </w:tc>
        <w:tc>
          <w:tcPr>
            <w:tcW w:type="dxa" w:w="231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Chef de service</w:t>
            </w:r>
          </w:p>
        </w:tc>
        <w:tc>
          <w:tcPr>
            <w:tcW w:type="dxa" w:w="5012"/>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1er visa des bons de caisse (délai 4 h)</w:t>
            </w:r>
          </w:p>
        </w:tc>
      </w:tr>
      <w:tr>
        <w:trPr>
          <w:cantSplit/>
        </w:trPr>
        <w:tc>
          <w:tcPr>
            <w:tcW w:type="dxa" w:w="231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Chef d'atelier / chef d'équipe</w:t>
            </w:r>
          </w:p>
        </w:tc>
        <w:tc>
          <w:tcPr>
            <w:tcW w:type="dxa" w:w="231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Atelier, Travaux extérieurs</w:t>
            </w:r>
          </w:p>
        </w:tc>
        <w:tc>
          <w:tcPr>
            <w:tcW w:type="dxa" w:w="5012"/>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1er visa des ODM (ou son suppléant)</w:t>
            </w:r>
          </w:p>
        </w:tc>
      </w:tr>
      <w:tr>
        <w:trPr>
          <w:cantSplit/>
        </w:trPr>
        <w:tc>
          <w:tcPr>
            <w:tcW w:type="dxa" w:w="231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Contrôleur de gestion (CDG)</w:t>
            </w:r>
          </w:p>
        </w:tc>
        <w:tc>
          <w:tcPr>
            <w:tcW w:type="dxa" w:w="231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Contrôle de gestion</w:t>
            </w:r>
          </w:p>
        </w:tc>
        <w:tc>
          <w:tcPr>
            <w:tcW w:type="dxa" w:w="5012"/>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Visa des bons (24 h), modifie le code analytique, valide les tiers. Ne vise pas les ODM</w:t>
            </w:r>
          </w:p>
        </w:tc>
      </w:tr>
      <w:tr>
        <w:trPr>
          <w:cantSplit/>
        </w:trPr>
        <w:tc>
          <w:tcPr>
            <w:tcW w:type="dxa" w:w="231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DAF / DAF adjoint / Chef comptable</w:t>
            </w:r>
          </w:p>
        </w:tc>
        <w:tc>
          <w:tcPr>
            <w:tcW w:type="dxa" w:w="231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Direction financière</w:t>
            </w:r>
          </w:p>
        </w:tc>
        <w:tc>
          <w:tcPr>
            <w:tcW w:type="dxa" w:w="5012"/>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Visa Finance des bons (8 h), obligatoire avant tout décaissement ; visa DAF des ODM ; dérogations ; validation des tiers</w:t>
            </w:r>
          </w:p>
        </w:tc>
      </w:tr>
      <w:tr>
        <w:trPr>
          <w:cantSplit/>
        </w:trPr>
        <w:tc>
          <w:tcPr>
            <w:tcW w:type="dxa" w:w="231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Directeur Pays (DP)</w:t>
            </w:r>
          </w:p>
        </w:tc>
        <w:tc>
          <w:tcPr>
            <w:tcW w:type="dxa" w:w="231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Direction</w:t>
            </w:r>
          </w:p>
        </w:tc>
        <w:tc>
          <w:tcPr>
            <w:tcW w:type="dxa" w:w="5012"/>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Visa des bons dont la dépense dépasse 1 500 000 GNF (24 h), de tous les ODM et des réapprovisionnements</w:t>
            </w:r>
          </w:p>
        </w:tc>
      </w:tr>
      <w:tr>
        <w:trPr>
          <w:cantSplit/>
        </w:trPr>
        <w:tc>
          <w:tcPr>
            <w:tcW w:type="dxa" w:w="231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Directeur Pays adjoint</w:t>
            </w:r>
          </w:p>
        </w:tc>
        <w:tc>
          <w:tcPr>
            <w:tcW w:type="dxa" w:w="231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Direction</w:t>
            </w:r>
          </w:p>
        </w:tc>
        <w:tc>
          <w:tcPr>
            <w:tcW w:type="dxa" w:w="5012"/>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Signe à la place du DP en son absence (§5.2.1.2)</w:t>
            </w:r>
          </w:p>
        </w:tc>
      </w:tr>
      <w:tr>
        <w:trPr>
          <w:cantSplit/>
        </w:trPr>
        <w:tc>
          <w:tcPr>
            <w:tcW w:type="dxa" w:w="231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Caissier / assistant trésorier</w:t>
            </w:r>
          </w:p>
        </w:tc>
        <w:tc>
          <w:tcPr>
            <w:tcW w:type="dxa" w:w="231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Une caisse donnée</w:t>
            </w:r>
          </w:p>
        </w:tc>
        <w:tc>
          <w:tcPr>
            <w:tcW w:type="dxa" w:w="5012"/>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Décide du mode de paiement</w:t>
            </w:r>
            <w:r>
              <w:rPr>
                <w:rFonts w:ascii="Calibri" w:cs="Calibri" w:eastAsia="Calibri" w:hAnsi="Calibri"/>
                <w:sz w:val="18"/>
                <w:szCs w:val="18"/>
              </w:rPr>
              <w:t xml:space="preserve"> (espèces, OM, chèque, virement), décaisse, encaisse, clôture la journée, demande le réapprovisionnement, fait l'inventaire, relance les BP</w:t>
            </w:r>
          </w:p>
        </w:tc>
      </w:tr>
      <w:tr>
        <w:trPr>
          <w:cantSplit/>
        </w:trPr>
        <w:tc>
          <w:tcPr>
            <w:tcW w:type="dxa" w:w="231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Comptabilité</w:t>
            </w:r>
          </w:p>
        </w:tc>
        <w:tc>
          <w:tcPr>
            <w:tcW w:type="dxa" w:w="231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Service comptable</w:t>
            </w:r>
          </w:p>
        </w:tc>
        <w:tc>
          <w:tcPr>
            <w:tcW w:type="dxa" w:w="5012"/>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Impute les bons payés (M16), vise les justifications de BP (Annexe 3)</w:t>
            </w:r>
          </w:p>
        </w:tc>
      </w:tr>
      <w:tr>
        <w:trPr>
          <w:cantSplit/>
        </w:trPr>
        <w:tc>
          <w:tcPr>
            <w:tcW w:type="dxa" w:w="231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Trésorerie (trésorière)</w:t>
            </w:r>
          </w:p>
        </w:tc>
        <w:tc>
          <w:tcPr>
            <w:tcW w:type="dxa" w:w="231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Trésorerie</w:t>
            </w:r>
          </w:p>
        </w:tc>
        <w:tc>
          <w:tcPr>
            <w:tcW w:type="dxa" w:w="5012"/>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Valide et exécute les réapprovisionnements, saisit le taux de change du jour, signe les PV d'arrêté, valide la réconciliation OM, émet les fiches de régularisation carburant</w:t>
            </w:r>
          </w:p>
        </w:tc>
      </w:tr>
      <w:tr>
        <w:trPr>
          <w:cantSplit/>
        </w:trPr>
        <w:tc>
          <w:tcPr>
            <w:tcW w:type="dxa" w:w="231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Logistique</w:t>
            </w:r>
          </w:p>
        </w:tc>
        <w:tc>
          <w:tcPr>
            <w:tcW w:type="dxa" w:w="231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Responsables logistique</w:t>
            </w:r>
          </w:p>
        </w:tc>
        <w:tc>
          <w:tcPr>
            <w:tcW w:type="dxa" w:w="5012"/>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Fixe et valide les avances carburant de mission</w:t>
            </w:r>
          </w:p>
        </w:tc>
      </w:tr>
      <w:tr>
        <w:trPr>
          <w:cantSplit/>
        </w:trPr>
        <w:tc>
          <w:tcPr>
            <w:tcW w:type="dxa" w:w="231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RH</w:t>
            </w:r>
          </w:p>
        </w:tc>
        <w:tc>
          <w:tcPr>
            <w:tcW w:type="dxa" w:w="231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Ressources humaines</w:t>
            </w:r>
          </w:p>
        </w:tc>
        <w:tc>
          <w:tcPr>
            <w:tcW w:type="dxa" w:w="5012"/>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Lecture des retenues sur salaire à opérer ; renseigne le statut cadre / non-cadre</w:t>
            </w:r>
          </w:p>
        </w:tc>
      </w:tr>
      <w:tr>
        <w:trPr>
          <w:cantSplit/>
        </w:trPr>
        <w:tc>
          <w:tcPr>
            <w:tcW w:type="dxa" w:w="231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Administrateur</w:t>
            </w:r>
          </w:p>
        </w:tc>
        <w:tc>
          <w:tcPr>
            <w:tcW w:type="dxa" w:w="231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Addvalis puis IT Neemba</w:t>
            </w:r>
          </w:p>
        </w:tc>
        <w:tc>
          <w:tcPr>
            <w:tcW w:type="dxa" w:w="5012"/>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Paramétrage et comptes ; toute modification sensible est soumise à un second validateur (rôle paramétrable)</w:t>
            </w:r>
          </w:p>
        </w:tc>
      </w:tr>
    </w:tbl>
    <w:p>
      <w:pPr>
        <w:spacing w:after="100"/>
      </w:pPr>
    </w:p>
    <w:p>
      <w:pPr>
        <w:pStyle w:val="Heading1"/>
        <w:pageBreakBefore/>
      </w:pPr>
      <w:r>
        <w:t xml:space="preserve">4. Carte des modules</w:t>
      </w:r>
    </w:p>
    <w:p>
      <w:pPr>
        <w:spacing w:after="100" w:before="0" w:line="276"/>
      </w:pPr>
      <w:r>
        <w:rPr>
          <w:rFonts w:ascii="Calibri" w:cs="Calibri" w:eastAsia="Calibri" w:hAnsi="Calibri"/>
          <w:sz w:val="21"/>
          <w:szCs w:val="21"/>
        </w:rPr>
        <w:t xml:space="preserve">État du socle : </w:t>
      </w:r>
      <w:r>
        <w:rPr>
          <w:rFonts w:ascii="Calibri" w:cs="Calibri" w:eastAsia="Calibri" w:hAnsi="Calibri"/>
          <w:b/>
          <w:bCs/>
          <w:sz w:val="21"/>
          <w:szCs w:val="21"/>
        </w:rPr>
        <w:t xml:space="preserve">Existant</w:t>
      </w:r>
      <w:r>
        <w:rPr>
          <w:rFonts w:ascii="Calibri" w:cs="Calibri" w:eastAsia="Calibri" w:hAnsi="Calibri"/>
          <w:sz w:val="21"/>
          <w:szCs w:val="21"/>
        </w:rPr>
        <w:t xml:space="preserve"> = en place, à conserver ; </w:t>
      </w:r>
      <w:r>
        <w:rPr>
          <w:rFonts w:ascii="Calibri" w:cs="Calibri" w:eastAsia="Calibri" w:hAnsi="Calibri"/>
          <w:b/>
          <w:bCs/>
          <w:sz w:val="21"/>
          <w:szCs w:val="21"/>
        </w:rPr>
        <w:t xml:space="preserve">Correctif</w:t>
      </w:r>
      <w:r>
        <w:rPr>
          <w:rFonts w:ascii="Calibri" w:cs="Calibri" w:eastAsia="Calibri" w:hAnsi="Calibri"/>
          <w:sz w:val="21"/>
          <w:szCs w:val="21"/>
        </w:rPr>
        <w:t xml:space="preserve"> = en place mais non conforme ; </w:t>
      </w:r>
      <w:r>
        <w:rPr>
          <w:rFonts w:ascii="Calibri" w:cs="Calibri" w:eastAsia="Calibri" w:hAnsi="Calibri"/>
          <w:b/>
          <w:bCs/>
          <w:sz w:val="21"/>
          <w:szCs w:val="21"/>
        </w:rPr>
        <w:t xml:space="preserve">Évolution</w:t>
      </w:r>
      <w:r>
        <w:rPr>
          <w:rFonts w:ascii="Calibri" w:cs="Calibri" w:eastAsia="Calibri" w:hAnsi="Calibri"/>
          <w:sz w:val="21"/>
          <w:szCs w:val="21"/>
        </w:rPr>
        <w:t xml:space="preserve"> = en place, à étendre ; </w:t>
      </w:r>
      <w:r>
        <w:rPr>
          <w:rFonts w:ascii="Calibri" w:cs="Calibri" w:eastAsia="Calibri" w:hAnsi="Calibri"/>
          <w:b/>
          <w:bCs/>
          <w:sz w:val="21"/>
          <w:szCs w:val="21"/>
        </w:rPr>
        <w:t xml:space="preserve">Nouveau</w:t>
      </w:r>
      <w:r>
        <w:rPr>
          <w:rFonts w:ascii="Calibri" w:cs="Calibri" w:eastAsia="Calibri" w:hAnsi="Calibri"/>
          <w:sz w:val="21"/>
          <w:szCs w:val="21"/>
        </w:rPr>
        <w:t xml:space="preserve"> = à développer.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4241"/>
        <w:gridCol w:w="964"/>
        <w:gridCol w:w="1735"/>
        <w:gridCol w:w="1734"/>
      </w:tblGrid>
      <w:tr>
        <w:trPr>
          <w:tblHeader/>
        </w:trPr>
        <w:tc>
          <w:tcPr>
            <w:tcW w:type="dxa" w:w="964"/>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Module</w:t>
            </w:r>
          </w:p>
        </w:tc>
        <w:tc>
          <w:tcPr>
            <w:tcW w:type="dxa" w:w="4241"/>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Intitulé</w:t>
            </w:r>
          </w:p>
        </w:tc>
        <w:tc>
          <w:tcPr>
            <w:tcW w:type="dxa" w:w="964"/>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Lot</w:t>
            </w:r>
          </w:p>
        </w:tc>
        <w:tc>
          <w:tcPr>
            <w:tcW w:type="dxa" w:w="1735"/>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Niveau</w:t>
            </w:r>
          </w:p>
        </w:tc>
        <w:tc>
          <w:tcPr>
            <w:tcW w:type="dxa" w:w="1734"/>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Socle</w:t>
            </w:r>
          </w:p>
        </w:tc>
      </w:tr>
      <w:tr>
        <w:trPr>
          <w:cantSplit/>
        </w:trPr>
        <w:tc>
          <w:tcPr>
            <w:tcW w:type="dxa" w:w="964"/>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M01</w:t>
            </w:r>
          </w:p>
        </w:tc>
        <w:tc>
          <w:tcPr>
            <w:tcW w:type="dxa" w:w="4241"/>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Comptes, rôles et sécurité</w:t>
            </w:r>
          </w:p>
        </w:tc>
        <w:tc>
          <w:tcPr>
            <w:tcW w:type="dxa" w:w="964"/>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P1</w:t>
            </w:r>
          </w:p>
        </w:tc>
        <w:tc>
          <w:tcPr>
            <w:tcW w:type="dxa" w:w="1735"/>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Allégé</w:t>
            </w:r>
          </w:p>
        </w:tc>
        <w:tc>
          <w:tcPr>
            <w:tcW w:type="dxa" w:w="1734"/>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Existant</w:t>
            </w:r>
          </w:p>
        </w:tc>
      </w:tr>
      <w:tr>
        <w:trPr>
          <w:cantSplit/>
        </w:trPr>
        <w:tc>
          <w:tcPr>
            <w:tcW w:type="dxa" w:w="964"/>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M02</w:t>
            </w:r>
          </w:p>
        </w:tc>
        <w:tc>
          <w:tcPr>
            <w:tcW w:type="dxa" w:w="4241"/>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Référentiels et paramétrage</w:t>
            </w:r>
          </w:p>
        </w:tc>
        <w:tc>
          <w:tcPr>
            <w:tcW w:type="dxa" w:w="964"/>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P1</w:t>
            </w:r>
          </w:p>
        </w:tc>
        <w:tc>
          <w:tcPr>
            <w:tcW w:type="dxa" w:w="1735"/>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Allégé + tables</w:t>
            </w:r>
          </w:p>
        </w:tc>
        <w:tc>
          <w:tcPr>
            <w:tcW w:type="dxa" w:w="1734"/>
            <w:tcBorders>
              <w:top w:val="single" w:color="BFC7D5" w:sz="4"/>
              <w:left w:val="single" w:color="BFC7D5" w:sz="4"/>
              <w:bottom w:val="single" w:color="BFC7D5" w:sz="4"/>
              <w:right w:val="single" w:color="BFC7D5" w:sz="4"/>
            </w:tcBorders>
            <w:shd w:fill="E4ECF9" w:color="auto" w:val="clear"/>
            <w:tcMar>
              <w:top w:type="dxa" w:w="50"/>
              <w:left w:type="dxa" w:w="90"/>
              <w:bottom w:type="dxa" w:w="50"/>
              <w:right w:type="dxa" w:w="90"/>
            </w:tcMar>
            <w:vAlign w:val="top"/>
          </w:tcPr>
          <w:p>
            <w:pPr>
              <w:spacing w:after="20"/>
            </w:pPr>
            <w:r>
              <w:rPr>
                <w:rFonts w:ascii="Calibri" w:cs="Calibri" w:eastAsia="Calibri" w:hAnsi="Calibri"/>
                <w:color w:val="1B3F8B"/>
                <w:sz w:val="18"/>
                <w:szCs w:val="18"/>
              </w:rPr>
              <w:t xml:space="preserve">Évolution</w:t>
            </w:r>
          </w:p>
        </w:tc>
      </w:tr>
      <w:tr>
        <w:trPr>
          <w:cantSplit/>
        </w:trPr>
        <w:tc>
          <w:tcPr>
            <w:tcW w:type="dxa" w:w="964"/>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M03</w:t>
            </w:r>
          </w:p>
        </w:tc>
        <w:tc>
          <w:tcPr>
            <w:tcW w:type="dxa" w:w="4241"/>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Saisie du bon de caisse</w:t>
            </w:r>
          </w:p>
        </w:tc>
        <w:tc>
          <w:tcPr>
            <w:tcW w:type="dxa" w:w="964"/>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P1</w:t>
            </w:r>
          </w:p>
        </w:tc>
        <w:tc>
          <w:tcPr>
            <w:tcW w:type="dxa" w:w="1735"/>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Détaillé</w:t>
            </w:r>
          </w:p>
        </w:tc>
        <w:tc>
          <w:tcPr>
            <w:tcW w:type="dxa" w:w="1734"/>
            <w:tcBorders>
              <w:top w:val="single" w:color="BFC7D5" w:sz="4"/>
              <w:left w:val="single" w:color="BFC7D5" w:sz="4"/>
              <w:bottom w:val="single" w:color="BFC7D5" w:sz="4"/>
              <w:right w:val="single" w:color="BFC7D5" w:sz="4"/>
            </w:tcBorders>
            <w:shd w:fill="FDEBD9" w:color="auto" w:val="clear"/>
            <w:tcMar>
              <w:top w:type="dxa" w:w="50"/>
              <w:left w:type="dxa" w:w="90"/>
              <w:bottom w:type="dxa" w:w="50"/>
              <w:right w:type="dxa" w:w="90"/>
            </w:tcMar>
            <w:vAlign w:val="top"/>
          </w:tcPr>
          <w:p>
            <w:pPr>
              <w:spacing w:after="20"/>
            </w:pPr>
            <w:r>
              <w:rPr>
                <w:rFonts w:ascii="Calibri" w:cs="Calibri" w:eastAsia="Calibri" w:hAnsi="Calibri"/>
                <w:color w:val="9A4A0B"/>
                <w:sz w:val="18"/>
                <w:szCs w:val="18"/>
              </w:rPr>
              <w:t xml:space="preserve">Correctif</w:t>
            </w:r>
          </w:p>
        </w:tc>
      </w:tr>
      <w:tr>
        <w:trPr>
          <w:cantSplit/>
        </w:trPr>
        <w:tc>
          <w:tcPr>
            <w:tcW w:type="dxa" w:w="964"/>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M04</w:t>
            </w:r>
          </w:p>
        </w:tc>
        <w:tc>
          <w:tcPr>
            <w:tcW w:type="dxa" w:w="4241"/>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Circuit de validation</w:t>
            </w:r>
          </w:p>
        </w:tc>
        <w:tc>
          <w:tcPr>
            <w:tcW w:type="dxa" w:w="964"/>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P1</w:t>
            </w:r>
          </w:p>
        </w:tc>
        <w:tc>
          <w:tcPr>
            <w:tcW w:type="dxa" w:w="1735"/>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Allégé</w:t>
            </w:r>
          </w:p>
        </w:tc>
        <w:tc>
          <w:tcPr>
            <w:tcW w:type="dxa" w:w="1734"/>
            <w:tcBorders>
              <w:top w:val="single" w:color="BFC7D5" w:sz="4"/>
              <w:left w:val="single" w:color="BFC7D5" w:sz="4"/>
              <w:bottom w:val="single" w:color="BFC7D5" w:sz="4"/>
              <w:right w:val="single" w:color="BFC7D5" w:sz="4"/>
            </w:tcBorders>
            <w:shd w:fill="E4ECF9" w:color="auto" w:val="clear"/>
            <w:tcMar>
              <w:top w:type="dxa" w:w="50"/>
              <w:left w:type="dxa" w:w="90"/>
              <w:bottom w:type="dxa" w:w="50"/>
              <w:right w:type="dxa" w:w="90"/>
            </w:tcMar>
            <w:vAlign w:val="top"/>
          </w:tcPr>
          <w:p>
            <w:pPr>
              <w:spacing w:after="20"/>
            </w:pPr>
            <w:r>
              <w:rPr>
                <w:rFonts w:ascii="Calibri" w:cs="Calibri" w:eastAsia="Calibri" w:hAnsi="Calibri"/>
                <w:color w:val="1B3F8B"/>
                <w:sz w:val="18"/>
                <w:szCs w:val="18"/>
              </w:rPr>
              <w:t xml:space="preserve">Évolution</w:t>
            </w:r>
          </w:p>
        </w:tc>
      </w:tr>
      <w:tr>
        <w:trPr>
          <w:cantSplit/>
        </w:trPr>
        <w:tc>
          <w:tcPr>
            <w:tcW w:type="dxa" w:w="964"/>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M05</w:t>
            </w:r>
          </w:p>
        </w:tc>
        <w:tc>
          <w:tcPr>
            <w:tcW w:type="dxa" w:w="4241"/>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Délégations et suppléances</w:t>
            </w:r>
          </w:p>
        </w:tc>
        <w:tc>
          <w:tcPr>
            <w:tcW w:type="dxa" w:w="964"/>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P1</w:t>
            </w:r>
          </w:p>
        </w:tc>
        <w:tc>
          <w:tcPr>
            <w:tcW w:type="dxa" w:w="1735"/>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Allégé</w:t>
            </w:r>
          </w:p>
        </w:tc>
        <w:tc>
          <w:tcPr>
            <w:tcW w:type="dxa" w:w="1734"/>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Existant</w:t>
            </w:r>
          </w:p>
        </w:tc>
      </w:tr>
      <w:tr>
        <w:trPr>
          <w:cantSplit/>
        </w:trPr>
        <w:tc>
          <w:tcPr>
            <w:tcW w:type="dxa" w:w="964"/>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M06</w:t>
            </w:r>
          </w:p>
        </w:tc>
        <w:tc>
          <w:tcPr>
            <w:tcW w:type="dxa" w:w="4241"/>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Paiement et décaissement</w:t>
            </w:r>
          </w:p>
        </w:tc>
        <w:tc>
          <w:tcPr>
            <w:tcW w:type="dxa" w:w="964"/>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P1</w:t>
            </w:r>
          </w:p>
        </w:tc>
        <w:tc>
          <w:tcPr>
            <w:tcW w:type="dxa" w:w="1735"/>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Allégé</w:t>
            </w:r>
          </w:p>
        </w:tc>
        <w:tc>
          <w:tcPr>
            <w:tcW w:type="dxa" w:w="1734"/>
            <w:tcBorders>
              <w:top w:val="single" w:color="BFC7D5" w:sz="4"/>
              <w:left w:val="single" w:color="BFC7D5" w:sz="4"/>
              <w:bottom w:val="single" w:color="BFC7D5" w:sz="4"/>
              <w:right w:val="single" w:color="BFC7D5" w:sz="4"/>
            </w:tcBorders>
            <w:shd w:fill="E4ECF9" w:color="auto" w:val="clear"/>
            <w:tcMar>
              <w:top w:type="dxa" w:w="50"/>
              <w:left w:type="dxa" w:w="90"/>
              <w:bottom w:type="dxa" w:w="50"/>
              <w:right w:type="dxa" w:w="90"/>
            </w:tcMar>
            <w:vAlign w:val="top"/>
          </w:tcPr>
          <w:p>
            <w:pPr>
              <w:spacing w:after="20"/>
            </w:pPr>
            <w:r>
              <w:rPr>
                <w:rFonts w:ascii="Calibri" w:cs="Calibri" w:eastAsia="Calibri" w:hAnsi="Calibri"/>
                <w:color w:val="1B3F8B"/>
                <w:sz w:val="18"/>
                <w:szCs w:val="18"/>
              </w:rPr>
              <w:t xml:space="preserve">Évolution</w:t>
            </w:r>
          </w:p>
        </w:tc>
      </w:tr>
      <w:tr>
        <w:trPr>
          <w:cantSplit/>
        </w:trPr>
        <w:tc>
          <w:tcPr>
            <w:tcW w:type="dxa" w:w="964"/>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M07</w:t>
            </w:r>
          </w:p>
        </w:tc>
        <w:tc>
          <w:tcPr>
            <w:tcW w:type="dxa" w:w="4241"/>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Bons provisoires et régularisation</w:t>
            </w:r>
          </w:p>
        </w:tc>
        <w:tc>
          <w:tcPr>
            <w:tcW w:type="dxa" w:w="964"/>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P1</w:t>
            </w:r>
          </w:p>
        </w:tc>
        <w:tc>
          <w:tcPr>
            <w:tcW w:type="dxa" w:w="1735"/>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Allégé</w:t>
            </w:r>
          </w:p>
        </w:tc>
        <w:tc>
          <w:tcPr>
            <w:tcW w:type="dxa" w:w="1734"/>
            <w:tcBorders>
              <w:top w:val="single" w:color="BFC7D5" w:sz="4"/>
              <w:left w:val="single" w:color="BFC7D5" w:sz="4"/>
              <w:bottom w:val="single" w:color="BFC7D5" w:sz="4"/>
              <w:right w:val="single" w:color="BFC7D5" w:sz="4"/>
            </w:tcBorders>
            <w:shd w:fill="E4ECF9" w:color="auto" w:val="clear"/>
            <w:tcMar>
              <w:top w:type="dxa" w:w="50"/>
              <w:left w:type="dxa" w:w="90"/>
              <w:bottom w:type="dxa" w:w="50"/>
              <w:right w:type="dxa" w:w="90"/>
            </w:tcMar>
            <w:vAlign w:val="top"/>
          </w:tcPr>
          <w:p>
            <w:pPr>
              <w:spacing w:after="20"/>
            </w:pPr>
            <w:r>
              <w:rPr>
                <w:rFonts w:ascii="Calibri" w:cs="Calibri" w:eastAsia="Calibri" w:hAnsi="Calibri"/>
                <w:color w:val="1B3F8B"/>
                <w:sz w:val="18"/>
                <w:szCs w:val="18"/>
              </w:rPr>
              <w:t xml:space="preserve">Évolution</w:t>
            </w:r>
          </w:p>
        </w:tc>
      </w:tr>
      <w:tr>
        <w:trPr>
          <w:cantSplit/>
        </w:trPr>
        <w:tc>
          <w:tcPr>
            <w:tcW w:type="dxa" w:w="964"/>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M08</w:t>
            </w:r>
          </w:p>
        </w:tc>
        <w:tc>
          <w:tcPr>
            <w:tcW w:type="dxa" w:w="4241"/>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Caisses, réapprovisionnement et caisse Atelier</w:t>
            </w:r>
          </w:p>
        </w:tc>
        <w:tc>
          <w:tcPr>
            <w:tcW w:type="dxa" w:w="964"/>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P1/P3</w:t>
            </w:r>
          </w:p>
        </w:tc>
        <w:tc>
          <w:tcPr>
            <w:tcW w:type="dxa" w:w="1735"/>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Détaillé</w:t>
            </w:r>
          </w:p>
        </w:tc>
        <w:tc>
          <w:tcPr>
            <w:tcW w:type="dxa" w:w="1734"/>
            <w:tcBorders>
              <w:top w:val="single" w:color="BFC7D5" w:sz="4"/>
              <w:left w:val="single" w:color="BFC7D5" w:sz="4"/>
              <w:bottom w:val="single" w:color="BFC7D5" w:sz="4"/>
              <w:right w:val="single" w:color="BFC7D5" w:sz="4"/>
            </w:tcBorders>
            <w:shd w:fill="E4ECF9" w:color="auto" w:val="clear"/>
            <w:tcMar>
              <w:top w:type="dxa" w:w="50"/>
              <w:left w:type="dxa" w:w="90"/>
              <w:bottom w:type="dxa" w:w="50"/>
              <w:right w:type="dxa" w:w="90"/>
            </w:tcMar>
            <w:vAlign w:val="top"/>
          </w:tcPr>
          <w:p>
            <w:pPr>
              <w:spacing w:after="20"/>
            </w:pPr>
            <w:r>
              <w:rPr>
                <w:rFonts w:ascii="Calibri" w:cs="Calibri" w:eastAsia="Calibri" w:hAnsi="Calibri"/>
                <w:color w:val="1B3F8B"/>
                <w:sz w:val="18"/>
                <w:szCs w:val="18"/>
              </w:rPr>
              <w:t xml:space="preserve">Nouveau</w:t>
            </w:r>
          </w:p>
        </w:tc>
      </w:tr>
      <w:tr>
        <w:trPr>
          <w:cantSplit/>
        </w:trPr>
        <w:tc>
          <w:tcPr>
            <w:tcW w:type="dxa" w:w="964"/>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M09</w:t>
            </w:r>
          </w:p>
        </w:tc>
        <w:tc>
          <w:tcPr>
            <w:tcW w:type="dxa" w:w="4241"/>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Clôture journalière et rapport journalier</w:t>
            </w:r>
          </w:p>
        </w:tc>
        <w:tc>
          <w:tcPr>
            <w:tcW w:type="dxa" w:w="964"/>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P1</w:t>
            </w:r>
          </w:p>
        </w:tc>
        <w:tc>
          <w:tcPr>
            <w:tcW w:type="dxa" w:w="1735"/>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Allégé</w:t>
            </w:r>
          </w:p>
        </w:tc>
        <w:tc>
          <w:tcPr>
            <w:tcW w:type="dxa" w:w="1734"/>
            <w:tcBorders>
              <w:top w:val="single" w:color="BFC7D5" w:sz="4"/>
              <w:left w:val="single" w:color="BFC7D5" w:sz="4"/>
              <w:bottom w:val="single" w:color="BFC7D5" w:sz="4"/>
              <w:right w:val="single" w:color="BFC7D5" w:sz="4"/>
            </w:tcBorders>
            <w:shd w:fill="E4ECF9" w:color="auto" w:val="clear"/>
            <w:tcMar>
              <w:top w:type="dxa" w:w="50"/>
              <w:left w:type="dxa" w:w="90"/>
              <w:bottom w:type="dxa" w:w="50"/>
              <w:right w:type="dxa" w:w="90"/>
            </w:tcMar>
            <w:vAlign w:val="top"/>
          </w:tcPr>
          <w:p>
            <w:pPr>
              <w:spacing w:after="20"/>
            </w:pPr>
            <w:r>
              <w:rPr>
                <w:rFonts w:ascii="Calibri" w:cs="Calibri" w:eastAsia="Calibri" w:hAnsi="Calibri"/>
                <w:color w:val="1B3F8B"/>
                <w:sz w:val="18"/>
                <w:szCs w:val="18"/>
              </w:rPr>
              <w:t xml:space="preserve">Évolution</w:t>
            </w:r>
          </w:p>
        </w:tc>
      </w:tr>
      <w:tr>
        <w:trPr>
          <w:cantSplit/>
        </w:trPr>
        <w:tc>
          <w:tcPr>
            <w:tcW w:type="dxa" w:w="964"/>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M10</w:t>
            </w:r>
          </w:p>
        </w:tc>
        <w:tc>
          <w:tcPr>
            <w:tcW w:type="dxa" w:w="4241"/>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Inventaire et contrôle de caisse</w:t>
            </w:r>
          </w:p>
        </w:tc>
        <w:tc>
          <w:tcPr>
            <w:tcW w:type="dxa" w:w="964"/>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P1</w:t>
            </w:r>
          </w:p>
        </w:tc>
        <w:tc>
          <w:tcPr>
            <w:tcW w:type="dxa" w:w="1735"/>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Allégé</w:t>
            </w:r>
          </w:p>
        </w:tc>
        <w:tc>
          <w:tcPr>
            <w:tcW w:type="dxa" w:w="1734"/>
            <w:tcBorders>
              <w:top w:val="single" w:color="BFC7D5" w:sz="4"/>
              <w:left w:val="single" w:color="BFC7D5" w:sz="4"/>
              <w:bottom w:val="single" w:color="BFC7D5" w:sz="4"/>
              <w:right w:val="single" w:color="BFC7D5" w:sz="4"/>
            </w:tcBorders>
            <w:shd w:fill="E4ECF9" w:color="auto" w:val="clear"/>
            <w:tcMar>
              <w:top w:type="dxa" w:w="50"/>
              <w:left w:type="dxa" w:w="90"/>
              <w:bottom w:type="dxa" w:w="50"/>
              <w:right w:type="dxa" w:w="90"/>
            </w:tcMar>
            <w:vAlign w:val="top"/>
          </w:tcPr>
          <w:p>
            <w:pPr>
              <w:spacing w:after="20"/>
            </w:pPr>
            <w:r>
              <w:rPr>
                <w:rFonts w:ascii="Calibri" w:cs="Calibri" w:eastAsia="Calibri" w:hAnsi="Calibri"/>
                <w:color w:val="1B3F8B"/>
                <w:sz w:val="18"/>
                <w:szCs w:val="18"/>
              </w:rPr>
              <w:t xml:space="preserve">Nouveau</w:t>
            </w:r>
          </w:p>
        </w:tc>
      </w:tr>
      <w:tr>
        <w:trPr>
          <w:cantSplit/>
        </w:trPr>
        <w:tc>
          <w:tcPr>
            <w:tcW w:type="dxa" w:w="964"/>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M11</w:t>
            </w:r>
          </w:p>
        </w:tc>
        <w:tc>
          <w:tcPr>
            <w:tcW w:type="dxa" w:w="4241"/>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Notifications, relances et escalades</w:t>
            </w:r>
          </w:p>
        </w:tc>
        <w:tc>
          <w:tcPr>
            <w:tcW w:type="dxa" w:w="964"/>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P1</w:t>
            </w:r>
          </w:p>
        </w:tc>
        <w:tc>
          <w:tcPr>
            <w:tcW w:type="dxa" w:w="1735"/>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Allégé</w:t>
            </w:r>
          </w:p>
        </w:tc>
        <w:tc>
          <w:tcPr>
            <w:tcW w:type="dxa" w:w="1734"/>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Existant</w:t>
            </w:r>
          </w:p>
        </w:tc>
      </w:tr>
      <w:tr>
        <w:trPr>
          <w:cantSplit/>
        </w:trPr>
        <w:tc>
          <w:tcPr>
            <w:tcW w:type="dxa" w:w="964"/>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M12</w:t>
            </w:r>
          </w:p>
        </w:tc>
        <w:tc>
          <w:tcPr>
            <w:tcW w:type="dxa" w:w="4241"/>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Ordres de mission (ODM)</w:t>
            </w:r>
          </w:p>
        </w:tc>
        <w:tc>
          <w:tcPr>
            <w:tcW w:type="dxa" w:w="964"/>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P2</w:t>
            </w:r>
          </w:p>
        </w:tc>
        <w:tc>
          <w:tcPr>
            <w:tcW w:type="dxa" w:w="1735"/>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Détaillé</w:t>
            </w:r>
          </w:p>
        </w:tc>
        <w:tc>
          <w:tcPr>
            <w:tcW w:type="dxa" w:w="1734"/>
            <w:tcBorders>
              <w:top w:val="single" w:color="BFC7D5" w:sz="4"/>
              <w:left w:val="single" w:color="BFC7D5" w:sz="4"/>
              <w:bottom w:val="single" w:color="BFC7D5" w:sz="4"/>
              <w:right w:val="single" w:color="BFC7D5" w:sz="4"/>
            </w:tcBorders>
            <w:shd w:fill="E4ECF9" w:color="auto" w:val="clear"/>
            <w:tcMar>
              <w:top w:type="dxa" w:w="50"/>
              <w:left w:type="dxa" w:w="90"/>
              <w:bottom w:type="dxa" w:w="50"/>
              <w:right w:type="dxa" w:w="90"/>
            </w:tcMar>
            <w:vAlign w:val="top"/>
          </w:tcPr>
          <w:p>
            <w:pPr>
              <w:spacing w:after="20"/>
            </w:pPr>
            <w:r>
              <w:rPr>
                <w:rFonts w:ascii="Calibri" w:cs="Calibri" w:eastAsia="Calibri" w:hAnsi="Calibri"/>
                <w:color w:val="1B3F8B"/>
                <w:sz w:val="18"/>
                <w:szCs w:val="18"/>
              </w:rPr>
              <w:t xml:space="preserve">Nouveau</w:t>
            </w:r>
          </w:p>
        </w:tc>
      </w:tr>
      <w:tr>
        <w:trPr>
          <w:cantSplit/>
        </w:trPr>
        <w:tc>
          <w:tcPr>
            <w:tcW w:type="dxa" w:w="964"/>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M13</w:t>
            </w:r>
          </w:p>
        </w:tc>
        <w:tc>
          <w:tcPr>
            <w:tcW w:type="dxa" w:w="4241"/>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Carburant</w:t>
            </w:r>
          </w:p>
        </w:tc>
        <w:tc>
          <w:tcPr>
            <w:tcW w:type="dxa" w:w="964"/>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P2</w:t>
            </w:r>
          </w:p>
        </w:tc>
        <w:tc>
          <w:tcPr>
            <w:tcW w:type="dxa" w:w="1735"/>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Détaillé</w:t>
            </w:r>
          </w:p>
        </w:tc>
        <w:tc>
          <w:tcPr>
            <w:tcW w:type="dxa" w:w="1734"/>
            <w:tcBorders>
              <w:top w:val="single" w:color="BFC7D5" w:sz="4"/>
              <w:left w:val="single" w:color="BFC7D5" w:sz="4"/>
              <w:bottom w:val="single" w:color="BFC7D5" w:sz="4"/>
              <w:right w:val="single" w:color="BFC7D5" w:sz="4"/>
            </w:tcBorders>
            <w:shd w:fill="E4ECF9" w:color="auto" w:val="clear"/>
            <w:tcMar>
              <w:top w:type="dxa" w:w="50"/>
              <w:left w:type="dxa" w:w="90"/>
              <w:bottom w:type="dxa" w:w="50"/>
              <w:right w:type="dxa" w:w="90"/>
            </w:tcMar>
            <w:vAlign w:val="top"/>
          </w:tcPr>
          <w:p>
            <w:pPr>
              <w:spacing w:after="20"/>
            </w:pPr>
            <w:r>
              <w:rPr>
                <w:rFonts w:ascii="Calibri" w:cs="Calibri" w:eastAsia="Calibri" w:hAnsi="Calibri"/>
                <w:color w:val="1B3F8B"/>
                <w:sz w:val="18"/>
                <w:szCs w:val="18"/>
              </w:rPr>
              <w:t xml:space="preserve">Nouveau</w:t>
            </w:r>
          </w:p>
        </w:tc>
      </w:tr>
      <w:tr>
        <w:trPr>
          <w:cantSplit/>
        </w:trPr>
        <w:tc>
          <w:tcPr>
            <w:tcW w:type="dxa" w:w="964"/>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M14</w:t>
            </w:r>
          </w:p>
        </w:tc>
        <w:tc>
          <w:tcPr>
            <w:tcW w:type="dxa" w:w="4241"/>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Tableaux de bord et reporting</w:t>
            </w:r>
          </w:p>
        </w:tc>
        <w:tc>
          <w:tcPr>
            <w:tcW w:type="dxa" w:w="964"/>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P1</w:t>
            </w:r>
          </w:p>
        </w:tc>
        <w:tc>
          <w:tcPr>
            <w:tcW w:type="dxa" w:w="1735"/>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Allégé</w:t>
            </w:r>
          </w:p>
        </w:tc>
        <w:tc>
          <w:tcPr>
            <w:tcW w:type="dxa" w:w="1734"/>
            <w:tcBorders>
              <w:top w:val="single" w:color="BFC7D5" w:sz="4"/>
              <w:left w:val="single" w:color="BFC7D5" w:sz="4"/>
              <w:bottom w:val="single" w:color="BFC7D5" w:sz="4"/>
              <w:right w:val="single" w:color="BFC7D5" w:sz="4"/>
            </w:tcBorders>
            <w:shd w:fill="E4ECF9" w:color="auto" w:val="clear"/>
            <w:tcMar>
              <w:top w:type="dxa" w:w="50"/>
              <w:left w:type="dxa" w:w="90"/>
              <w:bottom w:type="dxa" w:w="50"/>
              <w:right w:type="dxa" w:w="90"/>
            </w:tcMar>
            <w:vAlign w:val="top"/>
          </w:tcPr>
          <w:p>
            <w:pPr>
              <w:spacing w:after="20"/>
            </w:pPr>
            <w:r>
              <w:rPr>
                <w:rFonts w:ascii="Calibri" w:cs="Calibri" w:eastAsia="Calibri" w:hAnsi="Calibri"/>
                <w:color w:val="1B3F8B"/>
                <w:sz w:val="18"/>
                <w:szCs w:val="18"/>
              </w:rPr>
              <w:t xml:space="preserve">Évolution</w:t>
            </w:r>
          </w:p>
        </w:tc>
      </w:tr>
      <w:tr>
        <w:trPr>
          <w:cantSplit/>
        </w:trPr>
        <w:tc>
          <w:tcPr>
            <w:tcW w:type="dxa" w:w="964"/>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M15</w:t>
            </w:r>
          </w:p>
        </w:tc>
        <w:tc>
          <w:tcPr>
            <w:tcW w:type="dxa" w:w="4241"/>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Archivage et journal d'audit</w:t>
            </w:r>
          </w:p>
        </w:tc>
        <w:tc>
          <w:tcPr>
            <w:tcW w:type="dxa" w:w="964"/>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P1</w:t>
            </w:r>
          </w:p>
        </w:tc>
        <w:tc>
          <w:tcPr>
            <w:tcW w:type="dxa" w:w="1735"/>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Allégé</w:t>
            </w:r>
          </w:p>
        </w:tc>
        <w:tc>
          <w:tcPr>
            <w:tcW w:type="dxa" w:w="1734"/>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Existant</w:t>
            </w:r>
          </w:p>
        </w:tc>
      </w:tr>
      <w:tr>
        <w:trPr>
          <w:cantSplit/>
        </w:trPr>
        <w:tc>
          <w:tcPr>
            <w:tcW w:type="dxa" w:w="964"/>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M16</w:t>
            </w:r>
          </w:p>
        </w:tc>
        <w:tc>
          <w:tcPr>
            <w:tcW w:type="dxa" w:w="4241"/>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Imputation comptable et export comptable</w:t>
            </w:r>
          </w:p>
        </w:tc>
        <w:tc>
          <w:tcPr>
            <w:tcW w:type="dxa" w:w="964"/>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P1</w:t>
            </w:r>
          </w:p>
        </w:tc>
        <w:tc>
          <w:tcPr>
            <w:tcW w:type="dxa" w:w="1735"/>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Allégé</w:t>
            </w:r>
          </w:p>
        </w:tc>
        <w:tc>
          <w:tcPr>
            <w:tcW w:type="dxa" w:w="1734"/>
            <w:tcBorders>
              <w:top w:val="single" w:color="BFC7D5" w:sz="4"/>
              <w:left w:val="single" w:color="BFC7D5" w:sz="4"/>
              <w:bottom w:val="single" w:color="BFC7D5" w:sz="4"/>
              <w:right w:val="single" w:color="BFC7D5" w:sz="4"/>
            </w:tcBorders>
            <w:shd w:fill="E4ECF9" w:color="auto" w:val="clear"/>
            <w:tcMar>
              <w:top w:type="dxa" w:w="50"/>
              <w:left w:type="dxa" w:w="90"/>
              <w:bottom w:type="dxa" w:w="50"/>
              <w:right w:type="dxa" w:w="90"/>
            </w:tcMar>
            <w:vAlign w:val="top"/>
          </w:tcPr>
          <w:p>
            <w:pPr>
              <w:spacing w:after="20"/>
            </w:pPr>
            <w:r>
              <w:rPr>
                <w:rFonts w:ascii="Calibri" w:cs="Calibri" w:eastAsia="Calibri" w:hAnsi="Calibri"/>
                <w:color w:val="1B3F8B"/>
                <w:sz w:val="18"/>
                <w:szCs w:val="18"/>
              </w:rPr>
              <w:t xml:space="preserve">Nouveau</w:t>
            </w:r>
          </w:p>
        </w:tc>
      </w:tr>
    </w:tbl>
    <w:p>
      <w:pPr>
        <w:spacing w:after="100"/>
      </w:pPr>
    </w:p>
    <w:p>
      <w:pPr>
        <w:pStyle w:val="Heading1"/>
        <w:pageBreakBefore/>
      </w:pPr>
      <w:r>
        <w:t xml:space="preserve">5. Socle existant et anomalies</w:t>
      </w:r>
    </w:p>
    <w:p>
      <w:pPr>
        <w:pStyle w:val="Heading2"/>
      </w:pPr>
      <w:r>
        <w:t xml:space="preserve">5.1 Fonctions en place à conserver</w:t>
      </w:r>
    </w:p>
    <w:p>
      <w:pPr>
        <w:spacing w:after="100" w:before="0" w:line="276"/>
      </w:pPr>
      <w:r>
        <w:rPr>
          <w:rFonts w:ascii="Calibri" w:cs="Calibri" w:eastAsia="Calibri" w:hAnsi="Calibri"/>
          <w:sz w:val="21"/>
          <w:szCs w:val="21"/>
        </w:rPr>
        <w:t xml:space="preserve">Constatées lors de la démonstration du 31/03/2026 sur neemba.wedrive.africa :</w:t>
      </w:r>
    </w:p>
    <w:p>
      <w:pPr>
        <w:pStyle w:val="ListParagraph"/>
        <w:numPr>
          <w:ilvl w:val="0"/>
          <w:numId w:val="2"/>
        </w:numPr>
        <w:spacing w:after="60"/>
      </w:pPr>
      <w:r>
        <w:rPr>
          <w:rFonts w:ascii="Calibri" w:cs="Calibri" w:eastAsia="Calibri" w:hAnsi="Calibri"/>
          <w:sz w:val="21"/>
          <w:szCs w:val="21"/>
        </w:rPr>
        <w:t xml:space="preserve">Circuit de validation à plusieurs niveaux avec motif obligatoire (10 caractères minimum).</w:t>
      </w:r>
    </w:p>
    <w:p>
      <w:pPr>
        <w:pStyle w:val="ListParagraph"/>
        <w:numPr>
          <w:ilvl w:val="0"/>
          <w:numId w:val="2"/>
        </w:numPr>
        <w:spacing w:after="60"/>
      </w:pPr>
      <w:r>
        <w:rPr>
          <w:rFonts w:ascii="Calibri" w:cs="Calibri" w:eastAsia="Calibri" w:hAnsi="Calibri"/>
          <w:sz w:val="21"/>
          <w:szCs w:val="21"/>
        </w:rPr>
        <w:t xml:space="preserve">Bons provisoires et définitifs ; délais de régularisation J+3 (mission) / J+2 (autres).</w:t>
      </w:r>
    </w:p>
    <w:p>
      <w:pPr>
        <w:pStyle w:val="ListParagraph"/>
        <w:numPr>
          <w:ilvl w:val="0"/>
          <w:numId w:val="2"/>
        </w:numPr>
        <w:spacing w:after="60"/>
      </w:pPr>
      <w:r>
        <w:rPr>
          <w:rFonts w:ascii="Calibri" w:cs="Calibri" w:eastAsia="Calibri" w:hAnsi="Calibri"/>
          <w:sz w:val="21"/>
          <w:szCs w:val="21"/>
        </w:rPr>
        <w:t xml:space="preserve">Code OTP à 6 chiffres par SMS pour débloquer un paiement (validité 5 min, paramétrable) — destinataire à corriger : le bénéficiaire (RG-M06-02).</w:t>
      </w:r>
    </w:p>
    <w:p>
      <w:pPr>
        <w:pStyle w:val="ListParagraph"/>
        <w:numPr>
          <w:ilvl w:val="0"/>
          <w:numId w:val="2"/>
        </w:numPr>
        <w:spacing w:after="60"/>
      </w:pPr>
      <w:r>
        <w:rPr>
          <w:rFonts w:ascii="Calibri" w:cs="Calibri" w:eastAsia="Calibri" w:hAnsi="Calibri"/>
          <w:sz w:val="21"/>
          <w:szCs w:val="21"/>
        </w:rPr>
        <w:t xml:space="preserve">Délégation avec acceptation obligatoire du délégué.</w:t>
      </w:r>
    </w:p>
    <w:p>
      <w:pPr>
        <w:pStyle w:val="ListParagraph"/>
        <w:numPr>
          <w:ilvl w:val="0"/>
          <w:numId w:val="2"/>
        </w:numPr>
        <w:spacing w:after="60"/>
      </w:pPr>
      <w:r>
        <w:rPr>
          <w:rFonts w:ascii="Calibri" w:cs="Calibri" w:eastAsia="Calibri" w:hAnsi="Calibri"/>
          <w:sz w:val="21"/>
          <w:szCs w:val="21"/>
        </w:rPr>
        <w:t xml:space="preserve">Notifications dans l'application avec code couleur selon l'urgence ; alertes email.</w:t>
      </w:r>
    </w:p>
    <w:p>
      <w:pPr>
        <w:pStyle w:val="ListParagraph"/>
        <w:numPr>
          <w:ilvl w:val="0"/>
          <w:numId w:val="2"/>
        </w:numPr>
        <w:spacing w:after="60"/>
      </w:pPr>
      <w:r>
        <w:rPr>
          <w:rFonts w:ascii="Calibri" w:cs="Calibri" w:eastAsia="Calibri" w:hAnsi="Calibri"/>
          <w:sz w:val="21"/>
          <w:szCs w:val="21"/>
        </w:rPr>
        <w:t xml:space="preserve">Export Excel et PDF ; archivage numérique avec durée de conservation paramétrable.</w:t>
      </w:r>
    </w:p>
    <w:p>
      <w:pPr>
        <w:pStyle w:val="ListParagraph"/>
        <w:numPr>
          <w:ilvl w:val="0"/>
          <w:numId w:val="2"/>
        </w:numPr>
        <w:spacing w:after="60"/>
      </w:pPr>
      <w:r>
        <w:rPr>
          <w:rFonts w:ascii="Calibri" w:cs="Calibri" w:eastAsia="Calibri" w:hAnsi="Calibri"/>
          <w:sz w:val="21"/>
          <w:szCs w:val="21"/>
        </w:rPr>
        <w:t xml:space="preserve">Blocage d'un solde de caisse négatif.</w:t>
      </w:r>
    </w:p>
    <w:p>
      <w:pPr>
        <w:pStyle w:val="Heading2"/>
      </w:pPr>
      <w:r>
        <w:t xml:space="preserve">5.2 Anomalies à corriger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3181"/>
        <w:gridCol w:w="3855"/>
        <w:gridCol w:w="1349"/>
      </w:tblGrid>
      <w:tr>
        <w:trPr>
          <w:tblHeader/>
        </w:trPr>
        <w:tc>
          <w:tcPr>
            <w:tcW w:type="dxa" w:w="1253"/>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3181"/>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Anomalie constatée</w:t>
            </w:r>
          </w:p>
        </w:tc>
        <w:tc>
          <w:tcPr>
            <w:tcW w:type="dxa" w:w="3855"/>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Correction attendue</w:t>
            </w:r>
          </w:p>
        </w:tc>
        <w:tc>
          <w:tcPr>
            <w:tcW w:type="dxa" w:w="1349"/>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Module</w:t>
            </w:r>
          </w:p>
        </w:tc>
      </w:tr>
      <w:tr>
        <w:trPr>
          <w:cantSplit/>
        </w:trPr>
        <w:tc>
          <w:tcPr>
            <w:tcW w:type="dxa" w:w="125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ANO-01</w:t>
            </w:r>
          </w:p>
        </w:tc>
        <w:tc>
          <w:tcPr>
            <w:tcW w:type="dxa" w:w="3181"/>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Montant en lettres faux (« deux cents mille »)</w:t>
            </w:r>
          </w:p>
        </w:tc>
        <w:tc>
          <w:tcPr>
            <w:tcW w:type="dxa" w:w="3855"/>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Générateur conforme aux règles du français (RG-M03-06)</w:t>
            </w:r>
          </w:p>
        </w:tc>
        <w:tc>
          <w:tcPr>
            <w:tcW w:type="dxa" w:w="134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M03</w:t>
            </w:r>
          </w:p>
        </w:tc>
      </w:tr>
      <w:tr>
        <w:trPr>
          <w:cantSplit/>
        </w:trPr>
        <w:tc>
          <w:tcPr>
            <w:tcW w:type="dxa" w:w="125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ANO-03</w:t>
            </w:r>
          </w:p>
        </w:tc>
        <w:tc>
          <w:tcPr>
            <w:tcW w:type="dxa" w:w="3181"/>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Numéro de bon attribué dès l'ouverture du formulaire</w:t>
            </w:r>
          </w:p>
        </w:tc>
        <w:tc>
          <w:tcPr>
            <w:tcW w:type="dxa" w:w="3855"/>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Numéro attribué à la soumission uniquement (RG-M03-18)</w:t>
            </w:r>
          </w:p>
        </w:tc>
        <w:tc>
          <w:tcPr>
            <w:tcW w:type="dxa" w:w="134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M03</w:t>
            </w:r>
          </w:p>
        </w:tc>
      </w:tr>
      <w:tr>
        <w:trPr>
          <w:cantSplit/>
        </w:trPr>
        <w:tc>
          <w:tcPr>
            <w:tcW w:type="dxa" w:w="125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ANO-05</w:t>
            </w:r>
          </w:p>
        </w:tc>
        <w:tc>
          <w:tcPr>
            <w:tcW w:type="dxa" w:w="3181"/>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Plafond de 20 M codé en dur</w:t>
            </w:r>
          </w:p>
        </w:tc>
        <w:tc>
          <w:tcPr>
            <w:tcW w:type="dxa" w:w="3855"/>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Plafond de retrait par caisse, paramétrable (RG-M03-08)</w:t>
            </w:r>
          </w:p>
        </w:tc>
        <w:tc>
          <w:tcPr>
            <w:tcW w:type="dxa" w:w="134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M03, M02</w:t>
            </w:r>
          </w:p>
        </w:tc>
      </w:tr>
      <w:tr>
        <w:trPr>
          <w:cantSplit/>
        </w:trPr>
        <w:tc>
          <w:tcPr>
            <w:tcW w:type="dxa" w:w="125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ANO-06</w:t>
            </w:r>
          </w:p>
        </w:tc>
        <w:tc>
          <w:tcPr>
            <w:tcW w:type="dxa" w:w="3181"/>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Bénéficiaire saisi en texte libre</w:t>
            </w:r>
          </w:p>
        </w:tc>
        <w:tc>
          <w:tcPr>
            <w:tcW w:type="dxa" w:w="3855"/>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Choix dans le référentiel salariés ou tiers (RG-M03-03)</w:t>
            </w:r>
          </w:p>
        </w:tc>
        <w:tc>
          <w:tcPr>
            <w:tcW w:type="dxa" w:w="134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M03, M02</w:t>
            </w:r>
          </w:p>
        </w:tc>
      </w:tr>
      <w:tr>
        <w:trPr>
          <w:cantSplit/>
        </w:trPr>
        <w:tc>
          <w:tcPr>
            <w:tcW w:type="dxa" w:w="125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ANO-07</w:t>
            </w:r>
          </w:p>
        </w:tc>
        <w:tc>
          <w:tcPr>
            <w:tcW w:type="dxa" w:w="3181"/>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Mode de paiement demandé avant le montant</w:t>
            </w:r>
          </w:p>
        </w:tc>
        <w:tc>
          <w:tcPr>
            <w:tcW w:type="dxa" w:w="3855"/>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Montant d'abord, puis modes autorisés pour ce montant (RG-M03-07)</w:t>
            </w:r>
          </w:p>
        </w:tc>
        <w:tc>
          <w:tcPr>
            <w:tcW w:type="dxa" w:w="134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M03</w:t>
            </w:r>
          </w:p>
        </w:tc>
      </w:tr>
      <w:tr>
        <w:trPr>
          <w:cantSplit/>
        </w:trPr>
        <w:tc>
          <w:tcPr>
            <w:tcW w:type="dxa" w:w="125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ANO-09</w:t>
            </w:r>
          </w:p>
        </w:tc>
        <w:tc>
          <w:tcPr>
            <w:tcW w:type="dxa" w:w="3181"/>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Soldes affichés par site et non par caisse</w:t>
            </w:r>
          </w:p>
        </w:tc>
        <w:tc>
          <w:tcPr>
            <w:tcW w:type="dxa" w:w="3855"/>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Solde par caisse ; Atelier distinct de Conakry principale (RG-M08-01)</w:t>
            </w:r>
          </w:p>
        </w:tc>
        <w:tc>
          <w:tcPr>
            <w:tcW w:type="dxa" w:w="134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M08</w:t>
            </w:r>
          </w:p>
        </w:tc>
      </w:tr>
      <w:tr>
        <w:trPr>
          <w:cantSplit/>
        </w:trPr>
        <w:tc>
          <w:tcPr>
            <w:tcW w:type="dxa" w:w="125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ANO-10</w:t>
            </w:r>
          </w:p>
        </w:tc>
        <w:tc>
          <w:tcPr>
            <w:tcW w:type="dxa" w:w="3181"/>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Aucune alerte de seuil de réapprovisionnement</w:t>
            </w:r>
          </w:p>
        </w:tc>
        <w:tc>
          <w:tcPr>
            <w:tcW w:type="dxa" w:w="3855"/>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Alerte au franchissement du seuil de chaque caisse (RG-M08-03)</w:t>
            </w:r>
          </w:p>
        </w:tc>
        <w:tc>
          <w:tcPr>
            <w:tcW w:type="dxa" w:w="134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M08</w:t>
            </w:r>
          </w:p>
        </w:tc>
      </w:tr>
      <w:tr>
        <w:trPr>
          <w:cantSplit/>
        </w:trPr>
        <w:tc>
          <w:tcPr>
            <w:tcW w:type="dxa" w:w="1253"/>
            <w:tcBorders>
              <w:top w:val="single" w:color="BFC7D5" w:sz="4"/>
              <w:left w:val="single" w:color="BFC7D5" w:sz="4"/>
              <w:bottom w:val="single" w:color="BFC7D5" w:sz="4"/>
              <w:right w:val="single" w:color="BFC7D5" w:sz="4"/>
            </w:tcBorders>
            <w:shd w:fill="FDEBD9"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ANO-02, 04, 08, 11 à 14</w:t>
            </w:r>
          </w:p>
        </w:tc>
        <w:tc>
          <w:tcPr>
            <w:tcW w:type="dxa" w:w="3181"/>
            <w:tcBorders>
              <w:top w:val="single" w:color="BFC7D5" w:sz="4"/>
              <w:left w:val="single" w:color="BFC7D5" w:sz="4"/>
              <w:bottom w:val="single" w:color="BFC7D5" w:sz="4"/>
              <w:right w:val="single" w:color="BFC7D5" w:sz="4"/>
            </w:tcBorders>
            <w:shd w:fill="FDEBD9"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Constatées en v1.3 — à reprendre de la livraison 1 de la v1.3</w:t>
            </w:r>
          </w:p>
        </w:tc>
        <w:tc>
          <w:tcPr>
            <w:tcW w:type="dxa" w:w="3855"/>
            <w:tcBorders>
              <w:top w:val="single" w:color="BFC7D5" w:sz="4"/>
              <w:left w:val="single" w:color="BFC7D5" w:sz="4"/>
              <w:bottom w:val="single" w:color="BFC7D5" w:sz="4"/>
              <w:right w:val="single" w:color="BFC7D5" w:sz="4"/>
            </w:tcBorders>
            <w:shd w:fill="FDEBD9"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Thierno transmet la liste ; Maurice la vérifie sur la plateforme</w:t>
            </w:r>
          </w:p>
        </w:tc>
        <w:tc>
          <w:tcPr>
            <w:tcW w:type="dxa" w:w="1349"/>
            <w:tcBorders>
              <w:top w:val="single" w:color="BFC7D5" w:sz="4"/>
              <w:left w:val="single" w:color="BFC7D5" w:sz="4"/>
              <w:bottom w:val="single" w:color="BFC7D5" w:sz="4"/>
              <w:right w:val="single" w:color="BFC7D5" w:sz="4"/>
            </w:tcBorders>
            <w:shd w:fill="FDEBD9"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w:t>
            </w:r>
          </w:p>
        </w:tc>
      </w:tr>
    </w:tbl>
    <w:p>
      <w:pPr>
        <w:spacing w:after="100"/>
      </w:pPr>
    </w:p>
    <w:p>
      <w:pPr>
        <w:pStyle w:val="Heading2"/>
      </w:pPr>
      <w:r>
        <w:t xml:space="preserve">5.3 Évolutions demandées lors de la démonstration du 31/03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76"/>
        <w:gridCol w:w="3662"/>
      </w:tblGrid>
      <w:tr>
        <w:trPr>
          <w:tblHeader/>
        </w:trPr>
        <w:tc>
          <w:tcPr>
            <w:tcW w:type="dxa" w:w="5976"/>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Évolution</w:t>
            </w:r>
          </w:p>
        </w:tc>
        <w:tc>
          <w:tcPr>
            <w:tcW w:type="dxa" w:w="3662"/>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Traitement en v2.0</w:t>
            </w:r>
          </w:p>
        </w:tc>
      </w:tr>
      <w:tr>
        <w:trPr>
          <w:cantSplit/>
        </w:trPr>
        <w:tc>
          <w:tcPr>
            <w:tcW w:type="dxa" w:w="5976"/>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Justification obligatoire de l'urgence, SMS en plus de l'email pour « très urgent »</w:t>
            </w:r>
          </w:p>
        </w:tc>
        <w:tc>
          <w:tcPr>
            <w:tcW w:type="dxa" w:w="3662"/>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RG-M03-14</w:t>
            </w:r>
          </w:p>
        </w:tc>
      </w:tr>
      <w:tr>
        <w:trPr>
          <w:cantSplit/>
        </w:trPr>
        <w:tc>
          <w:tcPr>
            <w:tcW w:type="dxa" w:w="5976"/>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Code analytique modifiable par le CDG à son étape</w:t>
            </w:r>
          </w:p>
        </w:tc>
        <w:tc>
          <w:tcPr>
            <w:tcW w:type="dxa" w:w="3662"/>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RG-M04-03</w:t>
            </w:r>
          </w:p>
        </w:tc>
      </w:tr>
      <w:tr>
        <w:trPr>
          <w:cantSplit/>
        </w:trPr>
        <w:tc>
          <w:tcPr>
            <w:tcW w:type="dxa" w:w="5976"/>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Délai de traitement de chaque étape affiché et exporté</w:t>
            </w:r>
          </w:p>
        </w:tc>
        <w:tc>
          <w:tcPr>
            <w:tcW w:type="dxa" w:w="3662"/>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RG-M04-06, M14</w:t>
            </w:r>
          </w:p>
        </w:tc>
      </w:tr>
      <w:tr>
        <w:trPr>
          <w:cantSplit/>
        </w:trPr>
        <w:tc>
          <w:tcPr>
            <w:tcW w:type="dxa" w:w="5976"/>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Rapport Excel au format opérationnel du client</w:t>
            </w:r>
          </w:p>
        </w:tc>
        <w:tc>
          <w:tcPr>
            <w:tcW w:type="dxa" w:w="3662"/>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M14</w:t>
            </w:r>
          </w:p>
        </w:tc>
      </w:tr>
      <w:tr>
        <w:trPr>
          <w:cantSplit/>
        </w:trPr>
        <w:tc>
          <w:tcPr>
            <w:tcW w:type="dxa" w:w="5976"/>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Ventilation sur plusieurs codes analytiques</w:t>
            </w:r>
          </w:p>
        </w:tc>
        <w:tc>
          <w:tcPr>
            <w:tcW w:type="dxa" w:w="3662"/>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Oui à la justification d'un BP (une ligne = un code, Annexe 3, RG-M07-03) et à l'imputation (M16). Non sur le bon lui-même</w:t>
            </w:r>
          </w:p>
        </w:tc>
      </w:tr>
      <w:tr>
        <w:trPr>
          <w:cantSplit/>
        </w:trPr>
        <w:tc>
          <w:tcPr>
            <w:tcW w:type="dxa" w:w="5976"/>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Double validation des modifications faites par l'administrateur</w:t>
            </w:r>
          </w:p>
        </w:tc>
        <w:tc>
          <w:tcPr>
            <w:tcW w:type="dxa" w:w="3662"/>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RG-M01-05</w:t>
            </w:r>
          </w:p>
        </w:tc>
      </w:tr>
      <w:tr>
        <w:trPr>
          <w:cantSplit/>
        </w:trPr>
        <w:tc>
          <w:tcPr>
            <w:tcW w:type="dxa" w:w="5976"/>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Niveau administrateur en cas d'absences simultanées</w:t>
            </w:r>
          </w:p>
        </w:tc>
        <w:tc>
          <w:tcPr>
            <w:tcW w:type="dxa" w:w="3662"/>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RG-M05-04</w:t>
            </w:r>
          </w:p>
        </w:tc>
      </w:tr>
      <w:tr>
        <w:trPr>
          <w:cantSplit/>
        </w:trPr>
        <w:tc>
          <w:tcPr>
            <w:tcW w:type="dxa" w:w="5976"/>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Processus d'alimentation (réapprovisionnement) des caisses</w:t>
            </w:r>
          </w:p>
        </w:tc>
        <w:tc>
          <w:tcPr>
            <w:tcW w:type="dxa" w:w="3662"/>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M08</w:t>
            </w:r>
          </w:p>
        </w:tc>
      </w:tr>
    </w:tbl>
    <w:p>
      <w:pPr>
        <w:spacing w:after="100"/>
      </w:pPr>
    </w:p>
    <w:p>
      <w:pPr>
        <w:pStyle w:val="Heading1"/>
        <w:pageBreakBefore/>
      </w:pPr>
      <w:r>
        <w:t xml:space="preserve">6. Référentiels et paramètres (M02)</w:t>
      </w:r>
    </w:p>
    <w:p>
      <w:pPr>
        <w:spacing w:after="100" w:before="0" w:line="276"/>
      </w:pPr>
      <w:r>
        <w:rPr>
          <w:rFonts w:ascii="Calibri" w:cs="Calibri" w:eastAsia="Calibri" w:hAnsi="Calibri"/>
          <w:sz w:val="21"/>
          <w:szCs w:val="21"/>
        </w:rPr>
        <w:t xml:space="preserve">Tous les éléments de ce chapitre sont </w:t>
      </w:r>
      <w:r>
        <w:rPr>
          <w:rFonts w:ascii="Calibri" w:cs="Calibri" w:eastAsia="Calibri" w:hAnsi="Calibri"/>
          <w:b/>
          <w:bCs/>
          <w:sz w:val="21"/>
          <w:szCs w:val="21"/>
        </w:rPr>
        <w:t xml:space="preserve">modifiables par l'administrateur</w:t>
      </w:r>
      <w:r>
        <w:rPr>
          <w:rFonts w:ascii="Calibri" w:cs="Calibri" w:eastAsia="Calibri" w:hAnsi="Calibri"/>
          <w:sz w:val="21"/>
          <w:szCs w:val="21"/>
        </w:rPr>
        <w:t xml:space="preserve"> depuis l'écran de paramétrage, avec date d'effet et historique. Une modification sensible (plafond, seuil, barème, taux, circuit) exige une seconde validation (RG-M01-05).</w:t>
      </w:r>
    </w:p>
    <w:p>
      <w:pPr>
        <w:pStyle w:val="Heading2"/>
      </w:pPr>
      <w:r>
        <w:t xml:space="preserve">6.1 Caisses</w:t>
      </w:r>
    </w:p>
    <w:p>
      <w:pPr>
        <w:spacing w:after="100" w:before="0" w:line="276"/>
      </w:pPr>
      <w:r>
        <w:rPr>
          <w:rFonts w:ascii="Calibri" w:cs="Calibri" w:eastAsia="Calibri" w:hAnsi="Calibri"/>
          <w:sz w:val="21"/>
          <w:szCs w:val="21"/>
        </w:rPr>
        <w:t xml:space="preserve">Trois montants distincts par caisse, à ne </w:t>
      </w:r>
      <w:r>
        <w:rPr>
          <w:rFonts w:ascii="Calibri" w:cs="Calibri" w:eastAsia="Calibri" w:hAnsi="Calibri"/>
          <w:b/>
          <w:bCs/>
          <w:sz w:val="21"/>
          <w:szCs w:val="21"/>
        </w:rPr>
        <w:t xml:space="preserve">jamais confondre</w:t>
      </w:r>
      <w:r>
        <w:rPr>
          <w:rFonts w:ascii="Calibri" w:cs="Calibri" w:eastAsia="Calibri" w:hAnsi="Calibri"/>
          <w:sz w:val="21"/>
          <w:szCs w:val="21"/>
        </w:rPr>
        <w:t xml:space="preserve"> :</w:t>
      </w:r>
    </w:p>
    <w:p>
      <w:pPr>
        <w:pStyle w:val="ListParagraph"/>
        <w:numPr>
          <w:ilvl w:val="0"/>
          <w:numId w:val="2"/>
        </w:numPr>
        <w:spacing w:after="60"/>
      </w:pPr>
      <w:r>
        <w:rPr>
          <w:rFonts w:ascii="Calibri" w:cs="Calibri" w:eastAsia="Calibri" w:hAnsi="Calibri"/>
          <w:b/>
          <w:bCs/>
          <w:sz w:val="21"/>
          <w:szCs w:val="21"/>
        </w:rPr>
        <w:t xml:space="preserve">Plafond de caisse</w:t>
      </w:r>
      <w:r>
        <w:rPr>
          <w:rFonts w:ascii="Calibri" w:cs="Calibri" w:eastAsia="Calibri" w:hAnsi="Calibri"/>
          <w:sz w:val="21"/>
          <w:szCs w:val="21"/>
        </w:rPr>
        <w:t xml:space="preserve"> : solde maximal autorisé dans la caisse.</w:t>
      </w:r>
    </w:p>
    <w:p>
      <w:pPr>
        <w:pStyle w:val="ListParagraph"/>
        <w:numPr>
          <w:ilvl w:val="0"/>
          <w:numId w:val="2"/>
        </w:numPr>
        <w:spacing w:after="60"/>
      </w:pPr>
      <w:r>
        <w:rPr>
          <w:rFonts w:ascii="Calibri" w:cs="Calibri" w:eastAsia="Calibri" w:hAnsi="Calibri"/>
          <w:b/>
          <w:bCs/>
          <w:sz w:val="21"/>
          <w:szCs w:val="21"/>
        </w:rPr>
        <w:t xml:space="preserve">Seuil de réapprovisionnement</w:t>
      </w:r>
      <w:r>
        <w:rPr>
          <w:rFonts w:ascii="Calibri" w:cs="Calibri" w:eastAsia="Calibri" w:hAnsi="Calibri"/>
          <w:sz w:val="21"/>
          <w:szCs w:val="21"/>
        </w:rPr>
        <w:t xml:space="preserve"> : solde en dessous duquel une alerte part (M08).</w:t>
      </w:r>
    </w:p>
    <w:p>
      <w:pPr>
        <w:pStyle w:val="ListParagraph"/>
        <w:numPr>
          <w:ilvl w:val="0"/>
          <w:numId w:val="2"/>
        </w:numPr>
        <w:spacing w:after="60"/>
      </w:pPr>
      <w:r>
        <w:rPr>
          <w:rFonts w:ascii="Calibri" w:cs="Calibri" w:eastAsia="Calibri" w:hAnsi="Calibri"/>
          <w:b/>
          <w:bCs/>
          <w:sz w:val="21"/>
          <w:szCs w:val="21"/>
        </w:rPr>
        <w:t xml:space="preserve">Plafond de retrait par bon</w:t>
      </w:r>
      <w:r>
        <w:rPr>
          <w:rFonts w:ascii="Calibri" w:cs="Calibri" w:eastAsia="Calibri" w:hAnsi="Calibri"/>
          <w:sz w:val="21"/>
          <w:szCs w:val="21"/>
        </w:rPr>
        <w:t xml:space="preserve"> : montant maximal payable en espèces sur un seul bon (M03, M06).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96"/>
        <w:gridCol w:w="2484"/>
        <w:gridCol w:w="1391"/>
        <w:gridCol w:w="1391"/>
        <w:gridCol w:w="1292"/>
        <w:gridCol w:w="1292"/>
        <w:gridCol w:w="1092"/>
      </w:tblGrid>
      <w:tr>
        <w:trPr>
          <w:tblHeader/>
        </w:trPr>
        <w:tc>
          <w:tcPr>
            <w:tcW w:type="dxa" w:w="696"/>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Code</w:t>
            </w:r>
          </w:p>
        </w:tc>
        <w:tc>
          <w:tcPr>
            <w:tcW w:type="dxa" w:w="2484"/>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Caisse</w:t>
            </w:r>
          </w:p>
        </w:tc>
        <w:tc>
          <w:tcPr>
            <w:tcW w:type="dxa" w:w="1391"/>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Site (code)</w:t>
            </w:r>
          </w:p>
        </w:tc>
        <w:tc>
          <w:tcPr>
            <w:tcW w:type="dxa" w:w="1391"/>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Plafond caisse</w:t>
            </w:r>
          </w:p>
        </w:tc>
        <w:tc>
          <w:tcPr>
            <w:tcW w:type="dxa" w:w="1292"/>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Seuil réappro.</w:t>
            </w:r>
          </w:p>
        </w:tc>
        <w:tc>
          <w:tcPr>
            <w:tcW w:type="dxa" w:w="1292"/>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Retrait / bon</w:t>
            </w:r>
          </w:p>
        </w:tc>
        <w:tc>
          <w:tcPr>
            <w:tcW w:type="dxa" w:w="1092"/>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Statut</w:t>
            </w:r>
          </w:p>
        </w:tc>
      </w:tr>
      <w:tr>
        <w:trPr>
          <w:cantSplit/>
        </w:trPr>
        <w:tc>
          <w:tcPr>
            <w:tcW w:type="dxa" w:w="696"/>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CKY</w:t>
            </w:r>
          </w:p>
        </w:tc>
        <w:tc>
          <w:tcPr>
            <w:tcW w:type="dxa" w:w="2484"/>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Conakry principale</w:t>
            </w:r>
          </w:p>
        </w:tc>
        <w:tc>
          <w:tcPr>
            <w:tcW w:type="dxa" w:w="1391"/>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Conakry (01)</w:t>
            </w:r>
          </w:p>
        </w:tc>
        <w:tc>
          <w:tcPr>
            <w:tcW w:type="dxa" w:w="1391"/>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250 000 000</w:t>
            </w:r>
          </w:p>
        </w:tc>
        <w:tc>
          <w:tcPr>
            <w:tcW w:type="dxa" w:w="1292"/>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50 000 000</w:t>
            </w:r>
          </w:p>
        </w:tc>
        <w:tc>
          <w:tcPr>
            <w:tcW w:type="dxa" w:w="1292"/>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20 000 000</w:t>
            </w:r>
          </w:p>
        </w:tc>
        <w:tc>
          <w:tcPr>
            <w:tcW w:type="dxa" w:w="1092"/>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696"/>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ATL</w:t>
            </w:r>
          </w:p>
        </w:tc>
        <w:tc>
          <w:tcPr>
            <w:tcW w:type="dxa" w:w="2484"/>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Atelier — avance fixe, rattachée à Conakry (gestionnaire : Mme Tounkara)</w:t>
            </w:r>
          </w:p>
        </w:tc>
        <w:tc>
          <w:tcPr>
            <w:tcW w:type="dxa" w:w="1391"/>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Conakry (01)</w:t>
            </w:r>
          </w:p>
        </w:tc>
        <w:tc>
          <w:tcPr>
            <w:tcW w:type="dxa" w:w="1391"/>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15 000 000</w:t>
            </w:r>
          </w:p>
        </w:tc>
        <w:tc>
          <w:tcPr>
            <w:tcW w:type="dxa" w:w="1292"/>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3 000 000</w:t>
            </w:r>
          </w:p>
        </w:tc>
        <w:tc>
          <w:tcPr>
            <w:tcW w:type="dxa" w:w="1292"/>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1 000 000</w:t>
            </w:r>
          </w:p>
        </w:tc>
        <w:tc>
          <w:tcPr>
            <w:tcW w:type="dxa" w:w="1092"/>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696"/>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SAG</w:t>
            </w:r>
          </w:p>
        </w:tc>
        <w:tc>
          <w:tcPr>
            <w:tcW w:type="dxa" w:w="2484"/>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Sangarédi</w:t>
            </w:r>
          </w:p>
        </w:tc>
        <w:tc>
          <w:tcPr>
            <w:tcW w:type="dxa" w:w="1391"/>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Sangarédi (11)</w:t>
            </w:r>
          </w:p>
        </w:tc>
        <w:tc>
          <w:tcPr>
            <w:tcW w:type="dxa" w:w="1391"/>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100 000 000</w:t>
            </w:r>
          </w:p>
        </w:tc>
        <w:tc>
          <w:tcPr>
            <w:tcW w:type="dxa" w:w="1292"/>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20 000 000</w:t>
            </w:r>
          </w:p>
        </w:tc>
        <w:tc>
          <w:tcPr>
            <w:tcW w:type="dxa" w:w="1292"/>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4 000 000</w:t>
            </w:r>
          </w:p>
        </w:tc>
        <w:tc>
          <w:tcPr>
            <w:tcW w:type="dxa" w:w="1092"/>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696"/>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BOK</w:t>
            </w:r>
          </w:p>
        </w:tc>
        <w:tc>
          <w:tcPr>
            <w:tcW w:type="dxa" w:w="2484"/>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Boké</w:t>
            </w:r>
          </w:p>
        </w:tc>
        <w:tc>
          <w:tcPr>
            <w:tcW w:type="dxa" w:w="1391"/>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Boké (31)</w:t>
            </w:r>
          </w:p>
        </w:tc>
        <w:tc>
          <w:tcPr>
            <w:tcW w:type="dxa" w:w="1391"/>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20 000 000</w:t>
            </w:r>
          </w:p>
        </w:tc>
        <w:tc>
          <w:tcPr>
            <w:tcW w:type="dxa" w:w="1292"/>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5 000 000</w:t>
            </w:r>
          </w:p>
        </w:tc>
        <w:tc>
          <w:tcPr>
            <w:tcW w:type="dxa" w:w="1292"/>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1 000 000</w:t>
            </w:r>
          </w:p>
        </w:tc>
        <w:tc>
          <w:tcPr>
            <w:tcW w:type="dxa" w:w="1092"/>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696"/>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SGL</w:t>
            </w:r>
          </w:p>
        </w:tc>
        <w:tc>
          <w:tcPr>
            <w:tcW w:type="dxa" w:w="2484"/>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Siguiri Location</w:t>
            </w:r>
          </w:p>
        </w:tc>
        <w:tc>
          <w:tcPr>
            <w:tcW w:type="dxa" w:w="1391"/>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Siguiri (81)</w:t>
            </w:r>
          </w:p>
        </w:tc>
        <w:tc>
          <w:tcPr>
            <w:tcW w:type="dxa" w:w="1391"/>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5 000 000</w:t>
            </w:r>
          </w:p>
        </w:tc>
        <w:tc>
          <w:tcPr>
            <w:tcW w:type="dxa" w:w="1292"/>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1 000 000</w:t>
            </w:r>
          </w:p>
        </w:tc>
        <w:tc>
          <w:tcPr>
            <w:tcW w:type="dxa" w:w="1292"/>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1 000 000</w:t>
            </w:r>
          </w:p>
        </w:tc>
        <w:tc>
          <w:tcPr>
            <w:tcW w:type="dxa" w:w="1092"/>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696"/>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SGT</w:t>
            </w:r>
          </w:p>
        </w:tc>
        <w:tc>
          <w:tcPr>
            <w:tcW w:type="dxa" w:w="2484"/>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Siguiri Technique / SAG (= Mandiana)</w:t>
            </w:r>
          </w:p>
        </w:tc>
        <w:tc>
          <w:tcPr>
            <w:tcW w:type="dxa" w:w="1391"/>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Mandiana (39)</w:t>
            </w:r>
          </w:p>
        </w:tc>
        <w:tc>
          <w:tcPr>
            <w:tcW w:type="dxa" w:w="1391"/>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5 000 000</w:t>
            </w:r>
          </w:p>
        </w:tc>
        <w:tc>
          <w:tcPr>
            <w:tcW w:type="dxa" w:w="1292"/>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1 000 000</w:t>
            </w:r>
          </w:p>
        </w:tc>
        <w:tc>
          <w:tcPr>
            <w:tcW w:type="dxa" w:w="1292"/>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1 000 000</w:t>
            </w:r>
          </w:p>
        </w:tc>
        <w:tc>
          <w:tcPr>
            <w:tcW w:type="dxa" w:w="1092"/>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696"/>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COR</w:t>
            </w:r>
          </w:p>
        </w:tc>
        <w:tc>
          <w:tcPr>
            <w:tcW w:type="dxa" w:w="2484"/>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CORICA (= Kouroussa)</w:t>
            </w:r>
          </w:p>
        </w:tc>
        <w:tc>
          <w:tcPr>
            <w:tcW w:type="dxa" w:w="1391"/>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Kouroussa (49)</w:t>
            </w:r>
          </w:p>
        </w:tc>
        <w:tc>
          <w:tcPr>
            <w:tcW w:type="dxa" w:w="1391"/>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5 000 000</w:t>
            </w:r>
          </w:p>
        </w:tc>
        <w:tc>
          <w:tcPr>
            <w:tcW w:type="dxa" w:w="1292"/>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1 000 000</w:t>
            </w:r>
          </w:p>
        </w:tc>
        <w:tc>
          <w:tcPr>
            <w:tcW w:type="dxa" w:w="1292"/>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1 000 000</w:t>
            </w:r>
          </w:p>
        </w:tc>
        <w:tc>
          <w:tcPr>
            <w:tcW w:type="dxa" w:w="1092"/>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696"/>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OM</w:t>
            </w:r>
          </w:p>
        </w:tc>
        <w:tc>
          <w:tcPr>
            <w:tcW w:type="dxa" w:w="2484"/>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Caisse monétique Orange Money (réapprovisionnée par virement bancaire)</w:t>
            </w:r>
          </w:p>
        </w:tc>
        <w:tc>
          <w:tcPr>
            <w:tcW w:type="dxa" w:w="1391"/>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Conakry (01)</w:t>
            </w:r>
          </w:p>
        </w:tc>
        <w:tc>
          <w:tcPr>
            <w:tcW w:type="dxa" w:w="1391"/>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500 000 000</w:t>
            </w:r>
          </w:p>
        </w:tc>
        <w:tc>
          <w:tcPr>
            <w:tcW w:type="dxa" w:w="1292"/>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100 000 000</w:t>
            </w:r>
          </w:p>
        </w:tc>
        <w:tc>
          <w:tcPr>
            <w:tcW w:type="dxa" w:w="1292"/>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Aucun</w:t>
            </w:r>
          </w:p>
        </w:tc>
        <w:tc>
          <w:tcPr>
            <w:tcW w:type="dxa" w:w="1092"/>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bl>
    <w:p>
      <w:pPr>
        <w:spacing w:after="100"/>
      </w:pPr>
    </w:p>
    <w:p>
      <w:pPr>
        <w:spacing w:after="120"/>
      </w:pPr>
      <w:r>
        <w:rPr>
          <w:rFonts w:ascii="Calibri" w:cs="Calibri" w:eastAsia="Calibri" w:hAnsi="Calibri"/>
          <w:i/>
          <w:iCs/>
          <w:color w:val="555555"/>
          <w:sz w:val="19"/>
          <w:szCs w:val="19"/>
        </w:rPr>
        <w:t xml:space="preserve">Valeurs de la procédure VF (§5.1.1.1, §5.1.1.2, §5.2.1.1). L'encaissement client est réservé à la caisse de Conakry principale, dont le plafond ne doit pas être dépassé par les encaissements (§5.3).</w:t>
      </w:r>
    </w:p>
    <w:p>
      <w:pPr>
        <w:pStyle w:val="Heading2"/>
      </w:pPr>
      <w:r>
        <w:t xml:space="preserve">6.2 Modes de paiement</w:t>
      </w:r>
    </w:p>
    <w:p>
      <w:pPr>
        <w:spacing w:after="100" w:before="0" w:line="276"/>
      </w:pPr>
      <w:r>
        <w:rPr>
          <w:rFonts w:ascii="Calibri" w:cs="Calibri" w:eastAsia="Calibri" w:hAnsi="Calibri"/>
          <w:sz w:val="21"/>
          <w:szCs w:val="21"/>
        </w:rPr>
        <w:t xml:space="preserve">Le demandeur indique un </w:t>
      </w:r>
      <w:r>
        <w:rPr>
          <w:rFonts w:ascii="Calibri" w:cs="Calibri" w:eastAsia="Calibri" w:hAnsi="Calibri"/>
          <w:b/>
          <w:bCs/>
          <w:sz w:val="21"/>
          <w:szCs w:val="21"/>
        </w:rPr>
        <w:t xml:space="preserve">mode souhaité</w:t>
      </w:r>
      <w:r>
        <w:rPr>
          <w:rFonts w:ascii="Calibri" w:cs="Calibri" w:eastAsia="Calibri" w:hAnsi="Calibri"/>
          <w:sz w:val="21"/>
          <w:szCs w:val="21"/>
        </w:rPr>
        <w:t xml:space="preserve">. Le </w:t>
      </w:r>
      <w:r>
        <w:rPr>
          <w:rFonts w:ascii="Calibri" w:cs="Calibri" w:eastAsia="Calibri" w:hAnsi="Calibri"/>
          <w:b/>
          <w:bCs/>
          <w:sz w:val="21"/>
          <w:szCs w:val="21"/>
        </w:rPr>
        <w:t xml:space="preserve">caissier ou l'assistant trésorier décide</w:t>
      </w:r>
      <w:r>
        <w:rPr>
          <w:rFonts w:ascii="Calibri" w:cs="Calibri" w:eastAsia="Calibri" w:hAnsi="Calibri"/>
          <w:sz w:val="21"/>
          <w:szCs w:val="21"/>
        </w:rPr>
        <w:t xml:space="preserve"> du mode au moment du paiement (procédure §5.1.1.2).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6554"/>
        <w:gridCol w:w="1349"/>
      </w:tblGrid>
      <w:tr>
        <w:trPr>
          <w:tblHeader/>
        </w:trPr>
        <w:tc>
          <w:tcPr>
            <w:tcW w:type="dxa" w:w="1735"/>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Mode</w:t>
            </w:r>
          </w:p>
        </w:tc>
        <w:tc>
          <w:tcPr>
            <w:tcW w:type="dxa" w:w="6554"/>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Règle</w:t>
            </w:r>
          </w:p>
        </w:tc>
        <w:tc>
          <w:tcPr>
            <w:tcW w:type="dxa" w:w="1349"/>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Statut</w:t>
            </w:r>
          </w:p>
        </w:tc>
      </w:tr>
      <w:tr>
        <w:trPr>
          <w:cantSplit/>
        </w:trPr>
        <w:tc>
          <w:tcPr>
            <w:tcW w:type="dxa" w:w="1735"/>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Espèces</w:t>
            </w:r>
          </w:p>
        </w:tc>
        <w:tc>
          <w:tcPr>
            <w:tcW w:type="dxa" w:w="6554"/>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Autorisé si montant ≤ plafond de retrait de la caisse</w:t>
            </w:r>
          </w:p>
        </w:tc>
        <w:tc>
          <w:tcPr>
            <w:tcW w:type="dxa" w:w="1349"/>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735"/>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Orange Money</w:t>
            </w:r>
          </w:p>
        </w:tc>
        <w:tc>
          <w:tcPr>
            <w:tcW w:type="dxa" w:w="6554"/>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Toujours autorisé ; frais par paliers calculés au paiement et ajoutés (§6.6) ; n° OM obligatoire. Destiné en priorité aux frais de mission du personnel</w:t>
            </w:r>
          </w:p>
        </w:tc>
        <w:tc>
          <w:tcPr>
            <w:tcW w:type="dxa" w:w="1349"/>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735"/>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MTN Money</w:t>
            </w:r>
          </w:p>
        </w:tc>
        <w:tc>
          <w:tcPr>
            <w:tcW w:type="dxa" w:w="6554"/>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Code journal prévu par la procédure (§5.2). Paramétré mais </w:t>
            </w:r>
            <w:r>
              <w:rPr>
                <w:rFonts w:ascii="Calibri" w:cs="Calibri" w:eastAsia="Calibri" w:hAnsi="Calibri"/>
                <w:b/>
                <w:bCs/>
                <w:sz w:val="18"/>
                <w:szCs w:val="18"/>
              </w:rPr>
              <w:t xml:space="preserve">inactif</w:t>
            </w:r>
            <w:r>
              <w:rPr>
                <w:rFonts w:ascii="Calibri" w:cs="Calibri" w:eastAsia="Calibri" w:hAnsi="Calibri"/>
                <w:sz w:val="18"/>
                <w:szCs w:val="18"/>
              </w:rPr>
              <w:t xml:space="preserve"> par défaut</w:t>
            </w:r>
          </w:p>
        </w:tc>
        <w:tc>
          <w:tcPr>
            <w:tcW w:type="dxa" w:w="1349"/>
            <w:tcBorders>
              <w:top w:val="single" w:color="BFC7D5" w:sz="4"/>
              <w:left w:val="single" w:color="BFC7D5" w:sz="4"/>
              <w:bottom w:val="single" w:color="BFC7D5" w:sz="4"/>
              <w:right w:val="single" w:color="BFC7D5" w:sz="4"/>
            </w:tcBorders>
            <w:shd w:fill="FDEBD9" w:color="auto" w:val="clear"/>
            <w:tcMar>
              <w:top w:type="dxa" w:w="50"/>
              <w:left w:type="dxa" w:w="90"/>
              <w:bottom w:type="dxa" w:w="50"/>
              <w:right w:type="dxa" w:w="90"/>
            </w:tcMar>
            <w:vAlign w:val="top"/>
          </w:tcPr>
          <w:p>
            <w:pPr>
              <w:spacing w:after="20"/>
            </w:pPr>
            <w:r>
              <w:rPr>
                <w:rFonts w:ascii="Calibri" w:cs="Calibri" w:eastAsia="Calibri" w:hAnsi="Calibri"/>
                <w:color w:val="9A4A0B"/>
                <w:sz w:val="18"/>
                <w:szCs w:val="18"/>
              </w:rPr>
              <w:t xml:space="preserve">Défaut ⚠</w:t>
            </w:r>
          </w:p>
        </w:tc>
      </w:tr>
      <w:tr>
        <w:trPr>
          <w:cantSplit/>
        </w:trPr>
        <w:tc>
          <w:tcPr>
            <w:tcW w:type="dxa" w:w="1735"/>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Chèque</w:t>
            </w:r>
          </w:p>
        </w:tc>
        <w:tc>
          <w:tcPr>
            <w:tcW w:type="dxa" w:w="6554"/>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Toujours autorisé ; n° de chèque saisi au paiement</w:t>
            </w:r>
          </w:p>
        </w:tc>
        <w:tc>
          <w:tcPr>
            <w:tcW w:type="dxa" w:w="1349"/>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735"/>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Virement</w:t>
            </w:r>
          </w:p>
        </w:tc>
        <w:tc>
          <w:tcPr>
            <w:tcW w:type="dxa" w:w="6554"/>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Toujours autorisé ; référence saisie au paiement</w:t>
            </w:r>
          </w:p>
        </w:tc>
        <w:tc>
          <w:tcPr>
            <w:tcW w:type="dxa" w:w="1349"/>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bl>
    <w:p>
      <w:pPr>
        <w:spacing w:after="100"/>
      </w:pPr>
    </w:p>
    <w:p>
      <w:pPr>
        <w:pStyle w:val="Heading2"/>
      </w:pPr>
      <w:r>
        <w:t xml:space="preserve">6.3 Services</w:t>
      </w:r>
    </w:p>
    <w:p>
      <w:pPr>
        <w:spacing w:after="100" w:before="0" w:line="276"/>
      </w:pPr>
      <w:r>
        <w:rPr>
          <w:rFonts w:ascii="Calibri" w:cs="Calibri" w:eastAsia="Calibri" w:hAnsi="Calibri"/>
          <w:sz w:val="21"/>
          <w:szCs w:val="21"/>
        </w:rPr>
        <w:t xml:space="preserve">Liste unique (Contrôle de gestion), utilisée pour les bons </w:t>
      </w:r>
      <w:r>
        <w:rPr>
          <w:rFonts w:ascii="Calibri" w:cs="Calibri" w:eastAsia="Calibri" w:hAnsi="Calibri"/>
          <w:b/>
          <w:bCs/>
          <w:sz w:val="21"/>
          <w:szCs w:val="21"/>
        </w:rPr>
        <w:t xml:space="preserve">et</w:t>
      </w:r>
      <w:r>
        <w:rPr>
          <w:rFonts w:ascii="Calibri" w:cs="Calibri" w:eastAsia="Calibri" w:hAnsi="Calibri"/>
          <w:sz w:val="21"/>
          <w:szCs w:val="21"/>
        </w:rPr>
        <w:t xml:space="preserve"> les ODM : </w:t>
      </w:r>
      <w:r>
        <w:rPr>
          <w:rFonts w:ascii="Calibri" w:cs="Calibri" w:eastAsia="Calibri" w:hAnsi="Calibri"/>
          <w:b/>
          <w:bCs/>
          <w:sz w:val="21"/>
          <w:szCs w:val="21"/>
        </w:rPr>
        <w:t xml:space="preserve">Direction, DAF, RH, Aftermarket, Technique, PSSR, Location, Logistique, Moyens Généraux, Informatique</w:t>
      </w:r>
      <w:r>
        <w:rPr>
          <w:rFonts w:ascii="Calibri" w:cs="Calibri" w:eastAsia="Calibri" w:hAnsi="Calibri"/>
          <w:sz w:val="21"/>
          <w:szCs w:val="21"/>
        </w:rPr>
        <w:t xml:space="preserve">. Prévoir un champ « code service numérique » (100 à 900) ; la correspondance est attendue de Neemba (⚠).</w:t>
      </w:r>
    </w:p>
    <w:p>
      <w:pPr>
        <w:pStyle w:val="Heading2"/>
      </w:pPr>
      <w:r>
        <w:t xml:space="preserve">6.4 Codes analytiques</w:t>
      </w:r>
    </w:p>
    <w:p>
      <w:pPr>
        <w:pStyle w:val="ListParagraph"/>
        <w:numPr>
          <w:ilvl w:val="0"/>
          <w:numId w:val="2"/>
        </w:numPr>
        <w:spacing w:after="60"/>
      </w:pPr>
      <w:r>
        <w:rPr>
          <w:rFonts w:ascii="Calibri" w:cs="Calibri" w:eastAsia="Calibri" w:hAnsi="Calibri"/>
          <w:sz w:val="21"/>
          <w:szCs w:val="21"/>
        </w:rPr>
        <w:t xml:space="preserve">Référentiel bâti sur le </w:t>
      </w:r>
      <w:r>
        <w:rPr>
          <w:rFonts w:ascii="Calibri" w:cs="Calibri" w:eastAsia="Calibri" w:hAnsi="Calibri"/>
          <w:b/>
          <w:bCs/>
          <w:sz w:val="21"/>
          <w:szCs w:val="21"/>
        </w:rPr>
        <w:t xml:space="preserve">radical à 6 caractères</w:t>
      </w:r>
      <w:r>
        <w:rPr>
          <w:rFonts w:ascii="Calibri" w:cs="Calibri" w:eastAsia="Calibri" w:hAnsi="Calibri"/>
          <w:sz w:val="21"/>
          <w:szCs w:val="21"/>
        </w:rPr>
        <w:t xml:space="preserve"> (22 lignes, ex. ADAZZZ → 200, FLXZZZ → 300, LOCZZZ → 400, DAFZZZ → 900), filtré par service. Liste à valider par le CDG (⚠). Codes Atelier et CORICA attendus.</w:t>
      </w:r>
    </w:p>
    <w:p>
      <w:pPr>
        <w:pStyle w:val="ListParagraph"/>
        <w:numPr>
          <w:ilvl w:val="0"/>
          <w:numId w:val="2"/>
        </w:numPr>
        <w:spacing w:after="60"/>
      </w:pPr>
      <w:r>
        <w:rPr>
          <w:rFonts w:ascii="Calibri" w:cs="Calibri" w:eastAsia="Calibri" w:hAnsi="Calibri"/>
          <w:sz w:val="21"/>
          <w:szCs w:val="21"/>
        </w:rPr>
        <w:t xml:space="preserve">Seule la feuille « TCD » officiellement transmise est utilisée ; toute autre feuille du fichier est ignorée.</w:t>
      </w:r>
    </w:p>
    <w:p>
      <w:pPr>
        <w:pStyle w:val="ListParagraph"/>
        <w:numPr>
          <w:ilvl w:val="0"/>
          <w:numId w:val="2"/>
        </w:numPr>
        <w:spacing w:after="60"/>
      </w:pPr>
      <w:r>
        <w:rPr>
          <w:rFonts w:ascii="Calibri" w:cs="Calibri" w:eastAsia="Calibri" w:hAnsi="Calibri"/>
          <w:sz w:val="21"/>
          <w:szCs w:val="21"/>
        </w:rPr>
        <w:t xml:space="preserve">Un code peut être désactivé, jamais supprimé s'il a servi.</w:t>
      </w:r>
    </w:p>
    <w:p>
      <w:pPr>
        <w:pStyle w:val="Heading2"/>
      </w:pPr>
      <w:r>
        <w:t xml:space="preserve">6.5 Utilisateurs et tiers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5012"/>
        <w:gridCol w:w="2891"/>
      </w:tblGrid>
      <w:tr>
        <w:trPr>
          <w:tblHeader/>
        </w:trPr>
        <w:tc>
          <w:tcPr>
            <w:tcW w:type="dxa" w:w="1735"/>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Référentiel</w:t>
            </w:r>
          </w:p>
        </w:tc>
        <w:tc>
          <w:tcPr>
            <w:tcW w:type="dxa" w:w="5012"/>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Champs</w:t>
            </w:r>
          </w:p>
        </w:tc>
        <w:tc>
          <w:tcPr>
            <w:tcW w:type="dxa" w:w="2891"/>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Remarques</w:t>
            </w:r>
          </w:p>
        </w:tc>
      </w:tr>
      <w:tr>
        <w:trPr>
          <w:cantSplit/>
        </w:trPr>
        <w:tc>
          <w:tcPr>
            <w:tcW w:type="dxa" w:w="1735"/>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Utilisateurs (salariés)</w:t>
            </w:r>
          </w:p>
        </w:tc>
        <w:tc>
          <w:tcPr>
            <w:tcW w:type="dxa" w:w="5012"/>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Matricule, nom, prénom, email neemba.com, téléphone, n° Orange Money, entité, site, caisse de rattachement, service, rôle(s), statut cadre / non-cadre, suppléant, actif</w:t>
            </w:r>
          </w:p>
        </w:tc>
        <w:tc>
          <w:tcPr>
            <w:tcW w:type="dxa" w:w="2891"/>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Import initial depuis le fichier Neemba « Sites-Utilisateurs-Valideurs ». Statut cadre renseigné par les RH</w:t>
            </w:r>
          </w:p>
        </w:tc>
      </w:tr>
      <w:tr>
        <w:trPr>
          <w:cantSplit/>
        </w:trPr>
        <w:tc>
          <w:tcPr>
            <w:tcW w:type="dxa" w:w="1735"/>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Visiteurs du groupe</w:t>
            </w:r>
          </w:p>
        </w:tc>
        <w:tc>
          <w:tcPr>
            <w:tcW w:type="dxa" w:w="5012"/>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Nom, prénom, filiale d'origine, matricule groupe, n° OM, département d'accueil, directeur responsable de la régularisation, période de séjour</w:t>
            </w:r>
          </w:p>
        </w:tc>
        <w:tc>
          <w:tcPr>
            <w:tcW w:type="dxa" w:w="2891"/>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Salarié d'une autre filiale en mission en Guinée. Peut recevoir un BP ; la régularisation relève du directeur du département d'accueil (§5.2.2.2)</w:t>
            </w:r>
          </w:p>
        </w:tc>
      </w:tr>
      <w:tr>
        <w:trPr>
          <w:cantSplit/>
        </w:trPr>
        <w:tc>
          <w:tcPr>
            <w:tcW w:type="dxa" w:w="1735"/>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Tiers (non-salariés)</w:t>
            </w:r>
          </w:p>
        </w:tc>
        <w:tc>
          <w:tcPr>
            <w:tcW w:type="dxa" w:w="5012"/>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Raison sociale ou nom, type (fournisseur, prestataire, particulier), téléphone, n° Orange Money, NIF (si connu), statut (proposé / validé / désactivé), proposé par, validé par</w:t>
            </w:r>
          </w:p>
        </w:tc>
        <w:tc>
          <w:tcPr>
            <w:tcW w:type="dxa" w:w="2891"/>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Créé sur proposition du demandeur, utilisable seulement après validation par la comptabilité ou le CDG (RG-M02-06)</w:t>
            </w:r>
          </w:p>
        </w:tc>
      </w:tr>
    </w:tbl>
    <w:p>
      <w:pPr>
        <w:spacing w:after="100"/>
      </w:pPr>
    </w:p>
    <w:p>
      <w:pPr>
        <w:pStyle w:val="Heading2"/>
      </w:pPr>
      <w:r>
        <w:t xml:space="preserve">6.6 Barèmes et taux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70"/>
        <w:gridCol w:w="4819"/>
        <w:gridCol w:w="1349"/>
      </w:tblGrid>
      <w:tr>
        <w:trPr>
          <w:tblHeader/>
        </w:trPr>
        <w:tc>
          <w:tcPr>
            <w:tcW w:type="dxa" w:w="3470"/>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Paramètre</w:t>
            </w:r>
          </w:p>
        </w:tc>
        <w:tc>
          <w:tcPr>
            <w:tcW w:type="dxa" w:w="4819"/>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Valeur par défaut</w:t>
            </w:r>
          </w:p>
        </w:tc>
        <w:tc>
          <w:tcPr>
            <w:tcW w:type="dxa" w:w="1349"/>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Statut</w:t>
            </w:r>
          </w:p>
        </w:tc>
      </w:tr>
      <w:tr>
        <w:trPr>
          <w:cantSplit/>
        </w:trPr>
        <w:tc>
          <w:tcPr>
            <w:tcW w:type="dxa" w:w="3470"/>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Seuil de visa du Directeur Pays</w:t>
            </w:r>
          </w:p>
        </w:tc>
        <w:tc>
          <w:tcPr>
            <w:tcW w:type="dxa" w:w="481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Montant de la dépense &gt; 1 500 000 GNF, </w:t>
            </w:r>
            <w:r>
              <w:rPr>
                <w:rFonts w:ascii="Calibri" w:cs="Calibri" w:eastAsia="Calibri" w:hAnsi="Calibri"/>
                <w:b/>
                <w:bCs/>
                <w:sz w:val="18"/>
                <w:szCs w:val="18"/>
              </w:rPr>
              <w:t xml:space="preserve">hors frais OM</w:t>
            </w:r>
            <w:r>
              <w:rPr>
                <w:rFonts w:ascii="Calibri" w:cs="Calibri" w:eastAsia="Calibri" w:hAnsi="Calibri"/>
                <w:sz w:val="18"/>
                <w:szCs w:val="18"/>
              </w:rPr>
              <w:t xml:space="preserve"> (Annexe 1)</w:t>
            </w:r>
          </w:p>
        </w:tc>
        <w:tc>
          <w:tcPr>
            <w:tcW w:type="dxa" w:w="1349"/>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3470"/>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Habilitation d'engagement du DP</w:t>
            </w:r>
          </w:p>
        </w:tc>
        <w:tc>
          <w:tcPr>
            <w:tcW w:type="dxa" w:w="481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500 000 000 GNF (aucun réapprovisionnement au-delà)</w:t>
            </w:r>
          </w:p>
        </w:tc>
        <w:tc>
          <w:tcPr>
            <w:tcW w:type="dxa" w:w="1349"/>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3470"/>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Indemnité journalière ODM intérieur</w:t>
            </w:r>
          </w:p>
        </w:tc>
        <w:tc>
          <w:tcPr>
            <w:tcW w:type="dxa" w:w="481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250 000 GNF/jour, en 2 lignes de 125 000 (libellés à confirmer)</w:t>
            </w:r>
          </w:p>
        </w:tc>
        <w:tc>
          <w:tcPr>
            <w:tcW w:type="dxa" w:w="1349"/>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3470"/>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Hébergement ODM intérieur</w:t>
            </w:r>
          </w:p>
        </w:tc>
        <w:tc>
          <w:tcPr>
            <w:tcW w:type="dxa" w:w="481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500 000 GNF/nuit ; 0 si logé sur base vie</w:t>
            </w:r>
          </w:p>
        </w:tc>
        <w:tc>
          <w:tcPr>
            <w:tcW w:type="dxa" w:w="1349"/>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3470"/>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Indemnité ODM extérieur</w:t>
            </w:r>
          </w:p>
        </w:tc>
        <w:tc>
          <w:tcPr>
            <w:tcW w:type="dxa" w:w="481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Non-cadre 22 000 FCFA/j ; cadre 34 000 FCFA/j ; barème unique y compris hors zone CFA</w:t>
            </w:r>
          </w:p>
        </w:tc>
        <w:tc>
          <w:tcPr>
            <w:tcW w:type="dxa" w:w="1349"/>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3470"/>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Taux de change FCFA → GNF</w:t>
            </w:r>
          </w:p>
        </w:tc>
        <w:tc>
          <w:tcPr>
            <w:tcW w:type="dxa" w:w="481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Saisi chaque jour par la Trésorerie (taux communiqué par la banque)</w:t>
            </w:r>
          </w:p>
        </w:tc>
        <w:tc>
          <w:tcPr>
            <w:tcW w:type="dxa" w:w="1349"/>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3470"/>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Frais OM — 100 001 à 5 000 000 GNF</w:t>
            </w:r>
          </w:p>
        </w:tc>
        <w:tc>
          <w:tcPr>
            <w:tcW w:type="dxa" w:w="481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1 % du total</w:t>
            </w:r>
          </w:p>
        </w:tc>
        <w:tc>
          <w:tcPr>
            <w:tcW w:type="dxa" w:w="1349"/>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3470"/>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Frais OM — 5 000 001 à 15 000 000 GNF</w:t>
            </w:r>
          </w:p>
        </w:tc>
        <w:tc>
          <w:tcPr>
            <w:tcW w:type="dxa" w:w="481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0,8 % du total</w:t>
            </w:r>
          </w:p>
        </w:tc>
        <w:tc>
          <w:tcPr>
            <w:tcW w:type="dxa" w:w="1349"/>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3470"/>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Frais OM — ≤ 100 000 GNF</w:t>
            </w:r>
          </w:p>
        </w:tc>
        <w:tc>
          <w:tcPr>
            <w:tcW w:type="dxa" w:w="481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Pas de calcul : frais saisis par la Trésorerie au paiement (champ tracé)</w:t>
            </w:r>
          </w:p>
        </w:tc>
        <w:tc>
          <w:tcPr>
            <w:tcW w:type="dxa" w:w="1349"/>
            <w:tcBorders>
              <w:top w:val="single" w:color="BFC7D5" w:sz="4"/>
              <w:left w:val="single" w:color="BFC7D5" w:sz="4"/>
              <w:bottom w:val="single" w:color="BFC7D5" w:sz="4"/>
              <w:right w:val="single" w:color="BFC7D5" w:sz="4"/>
            </w:tcBorders>
            <w:shd w:fill="FDEBD9" w:color="auto" w:val="clear"/>
            <w:tcMar>
              <w:top w:type="dxa" w:w="50"/>
              <w:left w:type="dxa" w:w="90"/>
              <w:bottom w:type="dxa" w:w="50"/>
              <w:right w:type="dxa" w:w="90"/>
            </w:tcMar>
            <w:vAlign w:val="top"/>
          </w:tcPr>
          <w:p>
            <w:pPr>
              <w:spacing w:after="20"/>
            </w:pPr>
            <w:r>
              <w:rPr>
                <w:rFonts w:ascii="Calibri" w:cs="Calibri" w:eastAsia="Calibri" w:hAnsi="Calibri"/>
                <w:color w:val="9A4A0B"/>
                <w:sz w:val="18"/>
                <w:szCs w:val="18"/>
              </w:rPr>
              <w:t xml:space="preserve">Défaut ⚠</w:t>
            </w:r>
          </w:p>
        </w:tc>
      </w:tr>
      <w:tr>
        <w:trPr>
          <w:cantSplit/>
        </w:trPr>
        <w:tc>
          <w:tcPr>
            <w:tcW w:type="dxa" w:w="3470"/>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Frais OM — &gt; 15 000 000 GNF</w:t>
            </w:r>
          </w:p>
        </w:tc>
        <w:tc>
          <w:tcPr>
            <w:tcW w:type="dxa" w:w="481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Pas de calcul : frais saisis par la Trésorerie au paiement (champ tracé)</w:t>
            </w:r>
          </w:p>
        </w:tc>
        <w:tc>
          <w:tcPr>
            <w:tcW w:type="dxa" w:w="1349"/>
            <w:tcBorders>
              <w:top w:val="single" w:color="BFC7D5" w:sz="4"/>
              <w:left w:val="single" w:color="BFC7D5" w:sz="4"/>
              <w:bottom w:val="single" w:color="BFC7D5" w:sz="4"/>
              <w:right w:val="single" w:color="BFC7D5" w:sz="4"/>
            </w:tcBorders>
            <w:shd w:fill="FDEBD9" w:color="auto" w:val="clear"/>
            <w:tcMar>
              <w:top w:type="dxa" w:w="50"/>
              <w:left w:type="dxa" w:w="90"/>
              <w:bottom w:type="dxa" w:w="50"/>
              <w:right w:type="dxa" w:w="90"/>
            </w:tcMar>
            <w:vAlign w:val="top"/>
          </w:tcPr>
          <w:p>
            <w:pPr>
              <w:spacing w:after="20"/>
            </w:pPr>
            <w:r>
              <w:rPr>
                <w:rFonts w:ascii="Calibri" w:cs="Calibri" w:eastAsia="Calibri" w:hAnsi="Calibri"/>
                <w:color w:val="9A4A0B"/>
                <w:sz w:val="18"/>
                <w:szCs w:val="18"/>
              </w:rPr>
              <w:t xml:space="preserve">Défaut ⚠</w:t>
            </w:r>
          </w:p>
        </w:tc>
      </w:tr>
      <w:tr>
        <w:trPr>
          <w:cantSplit/>
        </w:trPr>
        <w:tc>
          <w:tcPr>
            <w:tcW w:type="dxa" w:w="3470"/>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Arrondi des frais OM</w:t>
            </w:r>
          </w:p>
        </w:tc>
        <w:tc>
          <w:tcPr>
            <w:tcW w:type="dxa" w:w="481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À l'unité supérieure (GNF entiers)</w:t>
            </w:r>
          </w:p>
        </w:tc>
        <w:tc>
          <w:tcPr>
            <w:tcW w:type="dxa" w:w="1349"/>
            <w:tcBorders>
              <w:top w:val="single" w:color="BFC7D5" w:sz="4"/>
              <w:left w:val="single" w:color="BFC7D5" w:sz="4"/>
              <w:bottom w:val="single" w:color="BFC7D5" w:sz="4"/>
              <w:right w:val="single" w:color="BFC7D5" w:sz="4"/>
            </w:tcBorders>
            <w:shd w:fill="FDEBD9" w:color="auto" w:val="clear"/>
            <w:tcMar>
              <w:top w:type="dxa" w:w="50"/>
              <w:left w:type="dxa" w:w="90"/>
              <w:bottom w:type="dxa" w:w="50"/>
              <w:right w:type="dxa" w:w="90"/>
            </w:tcMar>
            <w:vAlign w:val="top"/>
          </w:tcPr>
          <w:p>
            <w:pPr>
              <w:spacing w:after="20"/>
            </w:pPr>
            <w:r>
              <w:rPr>
                <w:rFonts w:ascii="Calibri" w:cs="Calibri" w:eastAsia="Calibri" w:hAnsi="Calibri"/>
                <w:color w:val="9A4A0B"/>
                <w:sz w:val="18"/>
                <w:szCs w:val="18"/>
              </w:rPr>
              <w:t xml:space="preserve">Défaut ⚠</w:t>
            </w:r>
          </w:p>
        </w:tc>
      </w:tr>
      <w:tr>
        <w:trPr>
          <w:cantSplit/>
        </w:trPr>
        <w:tc>
          <w:tcPr>
            <w:tcW w:type="dxa" w:w="3470"/>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Délai de régularisation BP</w:t>
            </w:r>
          </w:p>
        </w:tc>
        <w:tc>
          <w:tcPr>
            <w:tcW w:type="dxa" w:w="481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3 jours ouvrés après le retour de mission ; 2 jours ouvrés après décaissement sinon</w:t>
            </w:r>
          </w:p>
        </w:tc>
        <w:tc>
          <w:tcPr>
            <w:tcW w:type="dxa" w:w="1349"/>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3470"/>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Jour de relance des BP</w:t>
            </w:r>
          </w:p>
        </w:tc>
        <w:tc>
          <w:tcPr>
            <w:tcW w:type="dxa" w:w="481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Vendredi</w:t>
            </w:r>
          </w:p>
        </w:tc>
        <w:tc>
          <w:tcPr>
            <w:tcW w:type="dxa" w:w="1349"/>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3470"/>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Coupures pour le billetage</w:t>
            </w:r>
          </w:p>
        </w:tc>
        <w:tc>
          <w:tcPr>
            <w:tcW w:type="dxa" w:w="481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20 000, 10 000, 5 000, 2 000, 1 000, 500, 100, 50 (Annexe 2)</w:t>
            </w:r>
          </w:p>
        </w:tc>
        <w:tc>
          <w:tcPr>
            <w:tcW w:type="dxa" w:w="1349"/>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B2A4A" w:sz="24"/>
              <w:bottom w:val="none" w:color="FFFFFF" w:sz="0"/>
              <w:right w:val="none" w:color="FFFFFF" w:sz="0"/>
            </w:tcBorders>
            <w:shd w:fill="DCEBF7" w:color="auto" w:val="clear"/>
            <w:tcMar>
              <w:top w:type="dxa" w:w="100"/>
              <w:left w:type="dxa" w:w="160"/>
              <w:bottom w:type="dxa" w:w="100"/>
              <w:right w:type="dxa" w:w="160"/>
            </w:tcMar>
          </w:tcPr>
          <w:p>
            <w:pPr>
              <w:spacing w:after="60"/>
            </w:pPr>
            <w:r>
              <w:rPr>
                <w:rFonts w:ascii="Calibri" w:cs="Calibri" w:eastAsia="Calibri" w:hAnsi="Calibri"/>
                <w:b/>
                <w:bCs/>
                <w:color w:val="1B2A4A"/>
                <w:sz w:val="21"/>
                <w:szCs w:val="21"/>
              </w:rPr>
              <w:t xml:space="preserve">Calcul des frais Orange Money (tous bons payés par OM)</w:t>
            </w:r>
          </w:p>
          <w:p>
            <w:pPr>
              <w:spacing w:after="50"/>
            </w:pPr>
            <w:r>
              <w:rPr>
                <w:rFonts w:ascii="Calibri" w:cs="Calibri" w:eastAsia="Calibri" w:hAnsi="Calibri"/>
                <w:sz w:val="20"/>
                <w:szCs w:val="20"/>
              </w:rPr>
              <w:t xml:space="preserve">frais = arrondi_sup( total × taux(palier(total)) ) — le palier est déterminé par le </w:t>
            </w:r>
            <w:r>
              <w:rPr>
                <w:rFonts w:ascii="Calibri" w:cs="Calibri" w:eastAsia="Calibri" w:hAnsi="Calibri"/>
                <w:b/>
                <w:bCs/>
                <w:sz w:val="20"/>
                <w:szCs w:val="20"/>
              </w:rPr>
              <w:t xml:space="preserve">total</w:t>
            </w:r>
            <w:r>
              <w:rPr>
                <w:rFonts w:ascii="Calibri" w:cs="Calibri" w:eastAsia="Calibri" w:hAnsi="Calibri"/>
                <w:sz w:val="20"/>
                <w:szCs w:val="20"/>
              </w:rPr>
              <w:t xml:space="preserve"> du bon, pas par tranche. Calcul définitif </w:t>
            </w:r>
            <w:r>
              <w:rPr>
                <w:rFonts w:ascii="Calibri" w:cs="Calibri" w:eastAsia="Calibri" w:hAnsi="Calibri"/>
                <w:b/>
                <w:bCs/>
                <w:sz w:val="20"/>
                <w:szCs w:val="20"/>
              </w:rPr>
              <w:t xml:space="preserve">au paiement</w:t>
            </w:r>
            <w:r>
              <w:rPr>
                <w:rFonts w:ascii="Calibri" w:cs="Calibri" w:eastAsia="Calibri" w:hAnsi="Calibri"/>
                <w:sz w:val="20"/>
                <w:szCs w:val="20"/>
              </w:rPr>
              <w:t xml:space="preserve">, quand le caissier retient Orange Money ; estimation affichée à la saisie si OM est souhaité.</w:t>
            </w:r>
          </w:p>
          <w:p>
            <w:pPr>
              <w:spacing w:after="50"/>
            </w:pPr>
            <w:r>
              <w:rPr>
                <w:rFonts w:ascii="Calibri" w:cs="Calibri" w:eastAsia="Calibri" w:hAnsi="Calibri"/>
                <w:sz w:val="20"/>
                <w:szCs w:val="20"/>
              </w:rPr>
              <w:t xml:space="preserve">montant versé = total + frais. Exemples : 3 250 000 → 32 500 → 3 282 500 ; 7 000 000 → 56 000 → 7 056 000 ; 8 250 000 → 66 000 → 8 316 000.</w:t>
            </w:r>
          </w:p>
        </w:tc>
      </w:tr>
    </w:tbl>
    <w:p>
      <w:pPr>
        <w:spacing w:after="80"/>
      </w:pPr>
    </w:p>
    <w:p>
      <w:pPr>
        <w:pStyle w:val="Heading2"/>
      </w:pPr>
      <w:r>
        <w:t xml:space="preserve">6.7 Délais de validation (SLA)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1349"/>
        <w:gridCol w:w="2120"/>
        <w:gridCol w:w="2892"/>
      </w:tblGrid>
      <w:tr>
        <w:trPr>
          <w:tblHeader/>
        </w:trPr>
        <w:tc>
          <w:tcPr>
            <w:tcW w:type="dxa" w:w="3277"/>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Étape</w:t>
            </w:r>
          </w:p>
        </w:tc>
        <w:tc>
          <w:tcPr>
            <w:tcW w:type="dxa" w:w="1349"/>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Délai</w:t>
            </w:r>
          </w:p>
        </w:tc>
        <w:tc>
          <w:tcPr>
            <w:tcW w:type="dxa" w:w="2120"/>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Relance</w:t>
            </w:r>
          </w:p>
        </w:tc>
        <w:tc>
          <w:tcPr>
            <w:tcW w:type="dxa" w:w="2892"/>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Escalade</w:t>
            </w:r>
          </w:p>
        </w:tc>
      </w:tr>
      <w:tr>
        <w:trPr>
          <w:cantSplit/>
        </w:trPr>
        <w:tc>
          <w:tcPr>
            <w:tcW w:type="dxa" w:w="3277"/>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Responsable de service</w:t>
            </w:r>
          </w:p>
        </w:tc>
        <w:tc>
          <w:tcPr>
            <w:tcW w:type="dxa" w:w="134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4 h</w:t>
            </w:r>
          </w:p>
        </w:tc>
        <w:tc>
          <w:tcPr>
            <w:tcW w:type="dxa" w:w="2120"/>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À l'échéance</w:t>
            </w:r>
          </w:p>
        </w:tc>
        <w:tc>
          <w:tcPr>
            <w:tcW w:type="dxa" w:w="2892"/>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Au double du délai, au N+1</w:t>
            </w:r>
          </w:p>
        </w:tc>
      </w:tr>
      <w:tr>
        <w:trPr>
          <w:cantSplit/>
        </w:trPr>
        <w:tc>
          <w:tcPr>
            <w:tcW w:type="dxa" w:w="3277"/>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CDG</w:t>
            </w:r>
          </w:p>
        </w:tc>
        <w:tc>
          <w:tcPr>
            <w:tcW w:type="dxa" w:w="134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24 h</w:t>
            </w:r>
          </w:p>
        </w:tc>
        <w:tc>
          <w:tcPr>
            <w:tcW w:type="dxa" w:w="2120"/>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À l'échéance</w:t>
            </w:r>
          </w:p>
        </w:tc>
        <w:tc>
          <w:tcPr>
            <w:tcW w:type="dxa" w:w="2892"/>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Au double du délai, au N+1</w:t>
            </w:r>
          </w:p>
        </w:tc>
      </w:tr>
      <w:tr>
        <w:trPr>
          <w:cantSplit/>
        </w:trPr>
        <w:tc>
          <w:tcPr>
            <w:tcW w:type="dxa" w:w="3277"/>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DAF / Chef comptable</w:t>
            </w:r>
          </w:p>
        </w:tc>
        <w:tc>
          <w:tcPr>
            <w:tcW w:type="dxa" w:w="134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8 h</w:t>
            </w:r>
          </w:p>
        </w:tc>
        <w:tc>
          <w:tcPr>
            <w:tcW w:type="dxa" w:w="2120"/>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À l'échéance</w:t>
            </w:r>
          </w:p>
        </w:tc>
        <w:tc>
          <w:tcPr>
            <w:tcW w:type="dxa" w:w="2892"/>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Au double du délai, au N+1</w:t>
            </w:r>
          </w:p>
        </w:tc>
      </w:tr>
      <w:tr>
        <w:trPr>
          <w:cantSplit/>
        </w:trPr>
        <w:tc>
          <w:tcPr>
            <w:tcW w:type="dxa" w:w="3277"/>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Directeur Pays</w:t>
            </w:r>
          </w:p>
        </w:tc>
        <w:tc>
          <w:tcPr>
            <w:tcW w:type="dxa" w:w="134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24 h</w:t>
            </w:r>
          </w:p>
        </w:tc>
        <w:tc>
          <w:tcPr>
            <w:tcW w:type="dxa" w:w="2120"/>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À l'échéance</w:t>
            </w:r>
          </w:p>
        </w:tc>
        <w:tc>
          <w:tcPr>
            <w:tcW w:type="dxa" w:w="2892"/>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Au double du délai, au DAF</w:t>
            </w:r>
          </w:p>
        </w:tc>
      </w:tr>
    </w:tbl>
    <w:p>
      <w:pPr>
        <w:spacing w:after="100"/>
      </w:pPr>
    </w:p>
    <w:p>
      <w:pPr>
        <w:spacing w:after="120"/>
      </w:pPr>
      <w:r>
        <w:rPr>
          <w:rFonts w:ascii="Calibri" w:cs="Calibri" w:eastAsia="Calibri" w:hAnsi="Calibri"/>
          <w:i/>
          <w:iCs/>
          <w:color w:val="555555"/>
          <w:sz w:val="19"/>
          <w:szCs w:val="19"/>
        </w:rPr>
        <w:t xml:space="preserve">Délais en heures ouvrées (lundi–vendredi, 8 h–17 h, paramétrable). Mêmes délais pour les étapes équivalentes du circuit ODM.</w:t>
      </w:r>
    </w:p>
    <w:p>
      <w:pPr>
        <w:pStyle w:val="Heading2"/>
      </w:pPr>
      <w:r>
        <w:t xml:space="preserve">6.8 Règles de M02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7132"/>
        <w:gridCol w:w="1157"/>
      </w:tblGrid>
      <w:tr>
        <w:trPr>
          <w:tblHeader/>
        </w:trPr>
        <w:tc>
          <w:tcPr>
            <w:tcW w:type="dxa" w:w="1349"/>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7132"/>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Règle</w:t>
            </w:r>
          </w:p>
        </w:tc>
        <w:tc>
          <w:tcPr>
            <w:tcW w:type="dxa" w:w="1157"/>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Statut</w:t>
            </w:r>
          </w:p>
        </w:tc>
      </w:tr>
      <w:tr>
        <w:trPr>
          <w:cantSplit/>
        </w:trPr>
        <w:tc>
          <w:tcPr>
            <w:tcW w:type="dxa" w:w="134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RG-M02-01</w:t>
            </w:r>
          </w:p>
        </w:tc>
        <w:tc>
          <w:tcPr>
            <w:tcW w:type="dxa" w:w="7132"/>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Tout paramètre porte une date d'effet ; un bon ou un ODM est calculé avec les valeurs en vigueur à sa date de soumission.</w:t>
            </w:r>
          </w:p>
        </w:tc>
        <w:tc>
          <w:tcPr>
            <w:tcW w:type="dxa" w:w="1157"/>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34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RG-M02-02</w:t>
            </w:r>
          </w:p>
        </w:tc>
        <w:tc>
          <w:tcPr>
            <w:tcW w:type="dxa" w:w="7132"/>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Un paramètre ne se supprime pas : il se désactive ou se remplace par une nouvelle version.</w:t>
            </w:r>
          </w:p>
        </w:tc>
        <w:tc>
          <w:tcPr>
            <w:tcW w:type="dxa" w:w="1157"/>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34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RG-M02-03</w:t>
            </w:r>
          </w:p>
        </w:tc>
        <w:tc>
          <w:tcPr>
            <w:tcW w:type="dxa" w:w="7132"/>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Un utilisateur appartient à une entité, un site et une caisse de rattachement ; il ne voit que les données de sa caisse, sauf rôles transverses (CDG, DAF, DP, Trésorerie, Administrateur).</w:t>
            </w:r>
          </w:p>
        </w:tc>
        <w:tc>
          <w:tcPr>
            <w:tcW w:type="dxa" w:w="1157"/>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34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RG-M02-04</w:t>
            </w:r>
          </w:p>
        </w:tc>
        <w:tc>
          <w:tcPr>
            <w:tcW w:type="dxa" w:w="7132"/>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Le statut cadre / non-cadre est obligatoire pour qu'un salarié puisse figurer sur un ODM extérieur.</w:t>
            </w:r>
          </w:p>
        </w:tc>
        <w:tc>
          <w:tcPr>
            <w:tcW w:type="dxa" w:w="1157"/>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34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RG-M02-05</w:t>
            </w:r>
          </w:p>
        </w:tc>
        <w:tc>
          <w:tcPr>
            <w:tcW w:type="dxa" w:w="7132"/>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Le n° Orange Money est au format guinéen (9 chiffres commençant par 6).</w:t>
            </w:r>
          </w:p>
        </w:tc>
        <w:tc>
          <w:tcPr>
            <w:tcW w:type="dxa" w:w="1157"/>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34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RG-M02-06</w:t>
            </w:r>
          </w:p>
        </w:tc>
        <w:tc>
          <w:tcPr>
            <w:tcW w:type="dxa" w:w="7132"/>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Un tiers « proposé » n'est pas sélectionnable dans un bon. Il le devient après validation par la comptabilité ou le CDG. Le refus est motivé.</w:t>
            </w:r>
          </w:p>
        </w:tc>
        <w:tc>
          <w:tcPr>
            <w:tcW w:type="dxa" w:w="1157"/>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34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RG-M02-07</w:t>
            </w:r>
          </w:p>
        </w:tc>
        <w:tc>
          <w:tcPr>
            <w:tcW w:type="dxa" w:w="7132"/>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Contrôle de doublon à la proposition d'un tiers : même téléphone, même n° OM ou même NIF qu'un tiers existant → blocage avec renvoi vers le tiers existant.</w:t>
            </w:r>
          </w:p>
        </w:tc>
        <w:tc>
          <w:tcPr>
            <w:tcW w:type="dxa" w:w="1157"/>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34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RG-M02-08</w:t>
            </w:r>
          </w:p>
        </w:tc>
        <w:tc>
          <w:tcPr>
            <w:tcW w:type="dxa" w:w="7132"/>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Second validateur des modifications sensibles : rôle(s) paramétrable(s). Défaut : DAF ou Chef comptable.</w:t>
            </w:r>
          </w:p>
        </w:tc>
        <w:tc>
          <w:tcPr>
            <w:tcW w:type="dxa" w:w="1157"/>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34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RG-M02-09</w:t>
            </w:r>
          </w:p>
        </w:tc>
        <w:tc>
          <w:tcPr>
            <w:tcW w:type="dxa" w:w="7132"/>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Liste des signataires habilités par service et par niveau, visible du caissier (§5.2.1.2). Un visa donné par un non-habilité est impossible.</w:t>
            </w:r>
          </w:p>
        </w:tc>
        <w:tc>
          <w:tcPr>
            <w:tcW w:type="dxa" w:w="1157"/>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bl>
    <w:p>
      <w:pPr>
        <w:spacing w:after="100"/>
      </w:pPr>
    </w:p>
    <w:p>
      <w:pPr>
        <w:pStyle w:val="Heading1"/>
        <w:pageBreakBefore/>
      </w:pPr>
      <w:r>
        <w:t xml:space="preserve">7. Modules détaillés</w:t>
      </w:r>
    </w:p>
    <w:p>
      <w:pPr>
        <w:pStyle w:val="Heading2"/>
      </w:pPr>
      <w:r>
        <w:t xml:space="preserve">7.1 M03 — Saisie du bon de caisse</w:t>
      </w:r>
    </w:p>
    <w:p>
      <w:pPr>
        <w:spacing w:after="100" w:before="0" w:line="276"/>
      </w:pPr>
      <w:r>
        <w:rPr>
          <w:rFonts w:ascii="Calibri" w:cs="Calibri" w:eastAsia="Calibri" w:hAnsi="Calibri"/>
          <w:b/>
          <w:bCs/>
          <w:sz w:val="21"/>
          <w:szCs w:val="21"/>
        </w:rPr>
        <w:t xml:space="preserve">Périmètre</w:t>
      </w:r>
      <w:r>
        <w:rPr>
          <w:rFonts w:ascii="Calibri" w:cs="Calibri" w:eastAsia="Calibri" w:hAnsi="Calibri"/>
          <w:sz w:val="21"/>
          <w:szCs w:val="21"/>
        </w:rPr>
        <w:t xml:space="preserve"> : de l'ouverture du formulaire à la soumission. La validation relève de M04, le paiement de M06, la régularisation des BP de M07.</w:t>
      </w:r>
    </w:p>
    <w:p>
      <w:pPr>
        <w:pStyle w:val="Heading3"/>
      </w:pPr>
      <w:r>
        <w:t xml:space="preserve">User stories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8481"/>
      </w:tblGrid>
      <w:tr>
        <w:trPr>
          <w:tblHeader/>
        </w:trPr>
        <w:tc>
          <w:tcPr>
            <w:tcW w:type="dxa" w:w="1157"/>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8481"/>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En tant que demandeur, je veux…</w:t>
            </w:r>
          </w:p>
        </w:tc>
      </w:tr>
      <w:tr>
        <w:trPr>
          <w:cantSplit/>
        </w:trPr>
        <w:tc>
          <w:tcPr>
            <w:tcW w:type="dxa" w:w="1157"/>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US-01</w:t>
            </w:r>
          </w:p>
        </w:tc>
        <w:tc>
          <w:tcPr>
            <w:tcW w:type="dxa" w:w="8481"/>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Créer un bon et choisir son type, définitif (BD) ou provisoire (BP)</w:t>
            </w:r>
          </w:p>
        </w:tc>
      </w:tr>
      <w:tr>
        <w:trPr>
          <w:cantSplit/>
        </w:trPr>
        <w:tc>
          <w:tcPr>
            <w:tcW w:type="dxa" w:w="1157"/>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US-02</w:t>
            </w:r>
          </w:p>
        </w:tc>
        <w:tc>
          <w:tcPr>
            <w:tcW w:type="dxa" w:w="8481"/>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Choisir le bénéficiaire dans le référentiel des salariés, des visiteurs du groupe ou des tiers validés</w:t>
            </w:r>
          </w:p>
        </w:tc>
      </w:tr>
      <w:tr>
        <w:trPr>
          <w:cantSplit/>
        </w:trPr>
        <w:tc>
          <w:tcPr>
            <w:tcW w:type="dxa" w:w="1157"/>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US-03</w:t>
            </w:r>
          </w:p>
        </w:tc>
        <w:tc>
          <w:tcPr>
            <w:tcW w:type="dxa" w:w="8481"/>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Proposer un nouveau tiers s'il n'existe pas</w:t>
            </w:r>
          </w:p>
        </w:tc>
      </w:tr>
      <w:tr>
        <w:trPr>
          <w:cantSplit/>
        </w:trPr>
        <w:tc>
          <w:tcPr>
            <w:tcW w:type="dxa" w:w="1157"/>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US-04</w:t>
            </w:r>
          </w:p>
        </w:tc>
        <w:tc>
          <w:tcPr>
            <w:tcW w:type="dxa" w:w="8481"/>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Saisir le motif</w:t>
            </w:r>
          </w:p>
        </w:tc>
      </w:tr>
      <w:tr>
        <w:trPr>
          <w:cantSplit/>
        </w:trPr>
        <w:tc>
          <w:tcPr>
            <w:tcW w:type="dxa" w:w="1157"/>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US-05</w:t>
            </w:r>
          </w:p>
        </w:tc>
        <w:tc>
          <w:tcPr>
            <w:tcW w:type="dxa" w:w="8481"/>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Saisir le montant et voir le montant en lettres généré automatiquement</w:t>
            </w:r>
          </w:p>
        </w:tc>
      </w:tr>
      <w:tr>
        <w:trPr>
          <w:cantSplit/>
        </w:trPr>
        <w:tc>
          <w:tcPr>
            <w:tcW w:type="dxa" w:w="1157"/>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US-06</w:t>
            </w:r>
          </w:p>
        </w:tc>
        <w:tc>
          <w:tcPr>
            <w:tcW w:type="dxa" w:w="8481"/>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Indiquer le mode de paiement souhaité, après le montant, parmi les modes autorisés</w:t>
            </w:r>
          </w:p>
        </w:tc>
      </w:tr>
      <w:tr>
        <w:trPr>
          <w:cantSplit/>
        </w:trPr>
        <w:tc>
          <w:tcPr>
            <w:tcW w:type="dxa" w:w="1157"/>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US-07</w:t>
            </w:r>
          </w:p>
        </w:tc>
        <w:tc>
          <w:tcPr>
            <w:tcW w:type="dxa" w:w="8481"/>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Voir une estimation des frais Orange Money si je souhaite Orange Money</w:t>
            </w:r>
          </w:p>
        </w:tc>
      </w:tr>
      <w:tr>
        <w:trPr>
          <w:cantSplit/>
        </w:trPr>
        <w:tc>
          <w:tcPr>
            <w:tcW w:type="dxa" w:w="1157"/>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US-08</w:t>
            </w:r>
          </w:p>
        </w:tc>
        <w:tc>
          <w:tcPr>
            <w:tcW w:type="dxa" w:w="8481"/>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Avoir l'entité, le site et la caisse pré-remplis depuis mon profil</w:t>
            </w:r>
          </w:p>
        </w:tc>
      </w:tr>
      <w:tr>
        <w:trPr>
          <w:cantSplit/>
        </w:trPr>
        <w:tc>
          <w:tcPr>
            <w:tcW w:type="dxa" w:w="1157"/>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US-09</w:t>
            </w:r>
          </w:p>
        </w:tc>
        <w:tc>
          <w:tcPr>
            <w:tcW w:type="dxa" w:w="8481"/>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Choisir le service puis un code analytique filtré par service</w:t>
            </w:r>
          </w:p>
        </w:tc>
      </w:tr>
      <w:tr>
        <w:trPr>
          <w:cantSplit/>
        </w:trPr>
        <w:tc>
          <w:tcPr>
            <w:tcW w:type="dxa" w:w="1157"/>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US-10</w:t>
            </w:r>
          </w:p>
        </w:tc>
        <w:tc>
          <w:tcPr>
            <w:tcW w:type="dxa" w:w="8481"/>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Rattacher un ou plusieurs OR</w:t>
            </w:r>
          </w:p>
        </w:tc>
      </w:tr>
      <w:tr>
        <w:trPr>
          <w:cantSplit/>
        </w:trPr>
        <w:tc>
          <w:tcPr>
            <w:tcW w:type="dxa" w:w="1157"/>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US-11</w:t>
            </w:r>
          </w:p>
        </w:tc>
        <w:tc>
          <w:tcPr>
            <w:tcW w:type="dxa" w:w="8481"/>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Indiquer l'urgence, avec un motif obligatoire si le bon est urgent</w:t>
            </w:r>
          </w:p>
        </w:tc>
      </w:tr>
      <w:tr>
        <w:trPr>
          <w:cantSplit/>
        </w:trPr>
        <w:tc>
          <w:tcPr>
            <w:tcW w:type="dxa" w:w="1157"/>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US-12</w:t>
            </w:r>
          </w:p>
        </w:tc>
        <w:tc>
          <w:tcPr>
            <w:tcW w:type="dxa" w:w="8481"/>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Joindre les justificatifs</w:t>
            </w:r>
          </w:p>
        </w:tc>
      </w:tr>
      <w:tr>
        <w:trPr>
          <w:cantSplit/>
        </w:trPr>
        <w:tc>
          <w:tcPr>
            <w:tcW w:type="dxa" w:w="1157"/>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US-13</w:t>
            </w:r>
          </w:p>
        </w:tc>
        <w:tc>
          <w:tcPr>
            <w:tcW w:type="dxa" w:w="8481"/>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Voir avant de soumettre le circuit prévu (visa DP ou non)</w:t>
            </w:r>
          </w:p>
        </w:tc>
      </w:tr>
      <w:tr>
        <w:trPr>
          <w:cantSplit/>
        </w:trPr>
        <w:tc>
          <w:tcPr>
            <w:tcW w:type="dxa" w:w="1157"/>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US-14</w:t>
            </w:r>
          </w:p>
        </w:tc>
        <w:tc>
          <w:tcPr>
            <w:tcW w:type="dxa" w:w="8481"/>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Enregistrer un brouillon sans consommer de numéro</w:t>
            </w:r>
          </w:p>
        </w:tc>
      </w:tr>
      <w:tr>
        <w:trPr>
          <w:cantSplit/>
        </w:trPr>
        <w:tc>
          <w:tcPr>
            <w:tcW w:type="dxa" w:w="1157"/>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US-15</w:t>
            </w:r>
          </w:p>
        </w:tc>
        <w:tc>
          <w:tcPr>
            <w:tcW w:type="dxa" w:w="8481"/>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Être averti d'un doublon probable ou d'un BP en retard du bénéficiaire</w:t>
            </w:r>
          </w:p>
        </w:tc>
      </w:tr>
      <w:tr>
        <w:trPr>
          <w:cantSplit/>
        </w:trPr>
        <w:tc>
          <w:tcPr>
            <w:tcW w:type="dxa" w:w="1157"/>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US-16</w:t>
            </w:r>
          </w:p>
        </w:tc>
        <w:tc>
          <w:tcPr>
            <w:tcW w:type="dxa" w:w="8481"/>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Corriger un bon rejeté et le soumettre à nouveau</w:t>
            </w:r>
          </w:p>
        </w:tc>
      </w:tr>
    </w:tbl>
    <w:p>
      <w:pPr>
        <w:spacing w:after="100"/>
      </w:pPr>
    </w:p>
    <w:p>
      <w:pPr>
        <w:pStyle w:val="Heading3"/>
      </w:pPr>
      <w:r>
        <w:t xml:space="preserve">Écran de saisie — ordre des champs</w:t>
      </w:r>
    </w:p>
    <w:p>
      <w:pPr>
        <w:pStyle w:val="ListParagraph"/>
        <w:numPr>
          <w:ilvl w:val="0"/>
          <w:numId w:val="4"/>
        </w:numPr>
        <w:spacing w:after="60"/>
      </w:pPr>
      <w:r>
        <w:rPr>
          <w:rFonts w:ascii="Calibri" w:cs="Calibri" w:eastAsia="Calibri" w:hAnsi="Calibri"/>
          <w:sz w:val="21"/>
          <w:szCs w:val="21"/>
        </w:rPr>
        <w:t xml:space="preserve">En-tête non modifiable : entité, site, caisse, demandeur, date.</w:t>
      </w:r>
    </w:p>
    <w:p>
      <w:pPr>
        <w:pStyle w:val="ListParagraph"/>
        <w:numPr>
          <w:ilvl w:val="0"/>
          <w:numId w:val="4"/>
        </w:numPr>
        <w:spacing w:after="60"/>
      </w:pPr>
      <w:r>
        <w:rPr>
          <w:rFonts w:ascii="Calibri" w:cs="Calibri" w:eastAsia="Calibri" w:hAnsi="Calibri"/>
          <w:sz w:val="21"/>
          <w:szCs w:val="21"/>
        </w:rPr>
        <w:t xml:space="preserve">Type : BD / BP.</w:t>
      </w:r>
    </w:p>
    <w:p>
      <w:pPr>
        <w:pStyle w:val="ListParagraph"/>
        <w:numPr>
          <w:ilvl w:val="0"/>
          <w:numId w:val="4"/>
        </w:numPr>
        <w:spacing w:after="60"/>
      </w:pPr>
      <w:r>
        <w:rPr>
          <w:rFonts w:ascii="Calibri" w:cs="Calibri" w:eastAsia="Calibri" w:hAnsi="Calibri"/>
          <w:sz w:val="21"/>
          <w:szCs w:val="21"/>
        </w:rPr>
        <w:t xml:space="preserve">Bénéficiaire : recherche salarié ou tiers ; lien « proposer un tiers ».</w:t>
      </w:r>
    </w:p>
    <w:p>
      <w:pPr>
        <w:pStyle w:val="ListParagraph"/>
        <w:numPr>
          <w:ilvl w:val="0"/>
          <w:numId w:val="4"/>
        </w:numPr>
        <w:spacing w:after="60"/>
      </w:pPr>
      <w:r>
        <w:rPr>
          <w:rFonts w:ascii="Calibri" w:cs="Calibri" w:eastAsia="Calibri" w:hAnsi="Calibri"/>
          <w:sz w:val="21"/>
          <w:szCs w:val="21"/>
        </w:rPr>
        <w:t xml:space="preserve">Motif.</w:t>
      </w:r>
    </w:p>
    <w:p>
      <w:pPr>
        <w:pStyle w:val="ListParagraph"/>
        <w:numPr>
          <w:ilvl w:val="0"/>
          <w:numId w:val="4"/>
        </w:numPr>
        <w:spacing w:after="60"/>
      </w:pPr>
      <w:r>
        <w:rPr>
          <w:rFonts w:ascii="Calibri" w:cs="Calibri" w:eastAsia="Calibri" w:hAnsi="Calibri"/>
          <w:sz w:val="21"/>
          <w:szCs w:val="21"/>
        </w:rPr>
        <w:t xml:space="preserve">Montant, puis montant en lettres (lecture seule).</w:t>
      </w:r>
    </w:p>
    <w:p>
      <w:pPr>
        <w:pStyle w:val="ListParagraph"/>
        <w:numPr>
          <w:ilvl w:val="0"/>
          <w:numId w:val="4"/>
        </w:numPr>
        <w:spacing w:after="60"/>
      </w:pPr>
      <w:r>
        <w:rPr>
          <w:rFonts w:ascii="Calibri" w:cs="Calibri" w:eastAsia="Calibri" w:hAnsi="Calibri"/>
          <w:sz w:val="21"/>
          <w:szCs w:val="21"/>
        </w:rPr>
        <w:t xml:space="preserve">Mode de paiement souhaité (modes autorisés uniquement), n° OM ; estimation des frais OM si applicable.</w:t>
      </w:r>
    </w:p>
    <w:p>
      <w:pPr>
        <w:pStyle w:val="ListParagraph"/>
        <w:numPr>
          <w:ilvl w:val="0"/>
          <w:numId w:val="4"/>
        </w:numPr>
        <w:spacing w:after="60"/>
      </w:pPr>
      <w:r>
        <w:rPr>
          <w:rFonts w:ascii="Calibri" w:cs="Calibri" w:eastAsia="Calibri" w:hAnsi="Calibri"/>
          <w:sz w:val="21"/>
          <w:szCs w:val="21"/>
        </w:rPr>
        <w:t xml:space="preserve">Service, puis code analytique filtré.</w:t>
      </w:r>
    </w:p>
    <w:p>
      <w:pPr>
        <w:pStyle w:val="ListParagraph"/>
        <w:numPr>
          <w:ilvl w:val="0"/>
          <w:numId w:val="4"/>
        </w:numPr>
        <w:spacing w:after="60"/>
      </w:pPr>
      <w:r>
        <w:rPr>
          <w:rFonts w:ascii="Calibri" w:cs="Calibri" w:eastAsia="Calibri" w:hAnsi="Calibri"/>
          <w:sz w:val="21"/>
          <w:szCs w:val="21"/>
        </w:rPr>
        <w:t xml:space="preserve">OR liés (facultatif).</w:t>
      </w:r>
    </w:p>
    <w:p>
      <w:pPr>
        <w:pStyle w:val="ListParagraph"/>
        <w:numPr>
          <w:ilvl w:val="0"/>
          <w:numId w:val="4"/>
        </w:numPr>
        <w:spacing w:after="60"/>
      </w:pPr>
      <w:r>
        <w:rPr>
          <w:rFonts w:ascii="Calibri" w:cs="Calibri" w:eastAsia="Calibri" w:hAnsi="Calibri"/>
          <w:sz w:val="21"/>
          <w:szCs w:val="21"/>
        </w:rPr>
        <w:t xml:space="preserve">Urgence et motif d'urgence.</w:t>
      </w:r>
    </w:p>
    <w:p>
      <w:pPr>
        <w:pStyle w:val="ListParagraph"/>
        <w:numPr>
          <w:ilvl w:val="0"/>
          <w:numId w:val="4"/>
        </w:numPr>
        <w:spacing w:after="60"/>
      </w:pPr>
      <w:r>
        <w:rPr>
          <w:rFonts w:ascii="Calibri" w:cs="Calibri" w:eastAsia="Calibri" w:hAnsi="Calibri"/>
          <w:sz w:val="21"/>
          <w:szCs w:val="21"/>
        </w:rPr>
        <w:t xml:space="preserve">Justificatifs.</w:t>
      </w:r>
    </w:p>
    <w:p>
      <w:pPr>
        <w:pStyle w:val="ListParagraph"/>
        <w:numPr>
          <w:ilvl w:val="0"/>
          <w:numId w:val="4"/>
        </w:numPr>
        <w:spacing w:after="60"/>
      </w:pPr>
      <w:r>
        <w:rPr>
          <w:rFonts w:ascii="Calibri" w:cs="Calibri" w:eastAsia="Calibri" w:hAnsi="Calibri"/>
          <w:sz w:val="21"/>
          <w:szCs w:val="21"/>
        </w:rPr>
        <w:t xml:space="preserve">Récapitulatif : montant versé, circuit prévu (avec ou sans DP), alertes éventuelles ; boutons « Enregistrer le brouillon » et « Soumettre ».</w:t>
      </w:r>
    </w:p>
    <w:p>
      <w:pPr>
        <w:pStyle w:val="Heading3"/>
      </w:pPr>
      <w:r>
        <w:t xml:space="preserve">Règles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7229"/>
        <w:gridCol w:w="1156"/>
      </w:tblGrid>
      <w:tr>
        <w:trPr>
          <w:tblHeader/>
        </w:trPr>
        <w:tc>
          <w:tcPr>
            <w:tcW w:type="dxa" w:w="1253"/>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7229"/>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Règle</w:t>
            </w:r>
          </w:p>
        </w:tc>
        <w:tc>
          <w:tcPr>
            <w:tcW w:type="dxa" w:w="1156"/>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Statut</w:t>
            </w:r>
          </w:p>
        </w:tc>
      </w:tr>
      <w:tr>
        <w:trPr>
          <w:cantSplit/>
        </w:trPr>
        <w:tc>
          <w:tcPr>
            <w:tcW w:type="dxa" w:w="125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RG-M03-01</w:t>
            </w:r>
          </w:p>
        </w:tc>
        <w:tc>
          <w:tcPr>
            <w:tcW w:type="dxa" w:w="722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Le type BD ou BP est obligatoire et choisi en premier.</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RG-M03-02</w:t>
            </w:r>
          </w:p>
        </w:tc>
        <w:tc>
          <w:tcPr>
            <w:tcW w:type="dxa" w:w="722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BP : imputation au compte 421100. Le formulaire demande si le BP est lié à une mission ; si oui, date de retour prévue obligatoire. L'échéance de régularisation est calculée et affichée (3 jours ouvrés après le retour, ou 2 jours ouvrés après le décaissement).</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RG-M03-03</w:t>
            </w:r>
          </w:p>
        </w:tc>
        <w:tc>
          <w:tcPr>
            <w:tcW w:type="dxa" w:w="722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Le bénéficiaire est choisi dans le référentiel (salarié par matricule, visiteur du groupe, ou tiers validé). Aucune saisie libre.</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RG-M03-04</w:t>
            </w:r>
          </w:p>
        </w:tc>
        <w:tc>
          <w:tcPr>
            <w:tcW w:type="dxa" w:w="722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Un </w:t>
            </w:r>
            <w:r>
              <w:rPr>
                <w:rFonts w:ascii="Calibri" w:cs="Calibri" w:eastAsia="Calibri" w:hAnsi="Calibri"/>
                <w:b/>
                <w:bCs/>
                <w:sz w:val="18"/>
                <w:szCs w:val="18"/>
              </w:rPr>
              <w:t xml:space="preserve">BP ne peut être émis qu'au profit d'un salarié ou d'un visiteur du groupe</w:t>
            </w:r>
            <w:r>
              <w:rPr>
                <w:rFonts w:ascii="Calibri" w:cs="Calibri" w:eastAsia="Calibri" w:hAnsi="Calibri"/>
                <w:sz w:val="18"/>
                <w:szCs w:val="18"/>
              </w:rPr>
              <w:t xml:space="preserve">. Pour un visiteur, le responsable de la régularisation est le directeur du département d'accueil, repris du référentiel. Si le bénéficiaire est un tiers, seul le type BD est proposé.</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RG-M03-05</w:t>
            </w:r>
          </w:p>
        </w:tc>
        <w:tc>
          <w:tcPr>
            <w:tcW w:type="dxa" w:w="722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Motif : 10 caractères minimum, 250 maximum.</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RG-M03-06</w:t>
            </w:r>
          </w:p>
        </w:tc>
        <w:tc>
          <w:tcPr>
            <w:tcW w:type="dxa" w:w="722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Montant : entier strictement positif, en GNF, sans décimale. Le montant en lettres est généré automatiquement et respecte les règles du français (quatre-vingts, soixante et onze, deux cent mille, un million cinq cent mille).</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RG-M03-07</w:t>
            </w:r>
          </w:p>
        </w:tc>
        <w:tc>
          <w:tcPr>
            <w:tcW w:type="dxa" w:w="722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Le mode de paiement </w:t>
            </w:r>
            <w:r>
              <w:rPr>
                <w:rFonts w:ascii="Calibri" w:cs="Calibri" w:eastAsia="Calibri" w:hAnsi="Calibri"/>
                <w:b/>
                <w:bCs/>
                <w:sz w:val="18"/>
                <w:szCs w:val="18"/>
              </w:rPr>
              <w:t xml:space="preserve">souhaité</w:t>
            </w:r>
            <w:r>
              <w:rPr>
                <w:rFonts w:ascii="Calibri" w:cs="Calibri" w:eastAsia="Calibri" w:hAnsi="Calibri"/>
                <w:sz w:val="18"/>
                <w:szCs w:val="18"/>
              </w:rPr>
              <w:t xml:space="preserve"> se choisit </w:t>
            </w:r>
            <w:r>
              <w:rPr>
                <w:rFonts w:ascii="Calibri" w:cs="Calibri" w:eastAsia="Calibri" w:hAnsi="Calibri"/>
                <w:b/>
                <w:bCs/>
                <w:sz w:val="18"/>
                <w:szCs w:val="18"/>
              </w:rPr>
              <w:t xml:space="preserve">après</w:t>
            </w:r>
            <w:r>
              <w:rPr>
                <w:rFonts w:ascii="Calibri" w:cs="Calibri" w:eastAsia="Calibri" w:hAnsi="Calibri"/>
                <w:sz w:val="18"/>
                <w:szCs w:val="18"/>
              </w:rPr>
              <w:t xml:space="preserve"> le montant, parmi les modes autorisés pour ce montant et cette caisse. Le mode définitif est décidé par le caissier au paiement (RG-M06-07).</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RG-M03-08</w:t>
            </w:r>
          </w:p>
        </w:tc>
        <w:tc>
          <w:tcPr>
            <w:tcW w:type="dxa" w:w="722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Espèces : proposé seulement si montant ≤ plafond de retrait de la caisse (§6.1). Au-delà : Orange Money, chèque ou virement. Le plafond est lu dans les paramètres, jamais codé en dur.</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RG-M03-09</w:t>
            </w:r>
          </w:p>
        </w:tc>
        <w:tc>
          <w:tcPr>
            <w:tcW w:type="dxa" w:w="722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Orange Money souhaité : estimation des frais (§6.6) affichée pour information. Les frais définitifs sont calculés au paiement et ajoutés au montant versé. S'applique à tous les bons, ODM ou non.</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RG-M03-10</w:t>
            </w:r>
          </w:p>
        </w:tc>
        <w:tc>
          <w:tcPr>
            <w:tcW w:type="dxa" w:w="722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Orange Money : n° OM obligatoire, pré-rempli depuis le référentiel du bénéficiaire, modifiable avec motif tracé.</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RG-M03-11</w:t>
            </w:r>
          </w:p>
        </w:tc>
        <w:tc>
          <w:tcPr>
            <w:tcW w:type="dxa" w:w="722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Entité, site et caisse sont pré-remplis depuis le profil du demandeur et non modifiables. Un demandeur de l'Atelier émet sur la caisse Atelier.</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RG-M03-12</w:t>
            </w:r>
          </w:p>
        </w:tc>
        <w:tc>
          <w:tcPr>
            <w:tcW w:type="dxa" w:w="722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Service obligatoire (liste de 10). Code analytique obligatoire, filtré par service.</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RG-M03-13</w:t>
            </w:r>
          </w:p>
        </w:tc>
        <w:tc>
          <w:tcPr>
            <w:tcW w:type="dxa" w:w="722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OR liés : facultatifs, multiples ; format 8 chiffres commençant par 110 ; type VENTE ou GARANTIE.</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RG-M03-14</w:t>
            </w:r>
          </w:p>
        </w:tc>
        <w:tc>
          <w:tcPr>
            <w:tcW w:type="dxa" w:w="722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Urgence : normal / urgent / très urgent. Urgent ou très urgent : motif choisi dans une liste paramétrable, obligatoire. Très urgent : SMS en plus de l'email à chaque étape.</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RG-M03-15</w:t>
            </w:r>
          </w:p>
        </w:tc>
        <w:tc>
          <w:tcPr>
            <w:tcW w:type="dxa" w:w="722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BD : au moins un justificatif obligatoire</w:t>
            </w:r>
            <w:r>
              <w:rPr>
                <w:rFonts w:ascii="Calibri" w:cs="Calibri" w:eastAsia="Calibri" w:hAnsi="Calibri"/>
                <w:sz w:val="18"/>
                <w:szCs w:val="18"/>
              </w:rPr>
              <w:t xml:space="preserve"> (facture ou proforma ; original ou copie, signé ou non par le fournisseur, conforme à la législation locale — §5.2). Exception : un BD généré depuis un ODM validé, dont l'ODM tient lieu de justificatif. BP : justificatif facultatif.</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RG-M03-16</w:t>
            </w:r>
          </w:p>
        </w:tc>
        <w:tc>
          <w:tcPr>
            <w:tcW w:type="dxa" w:w="722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Justificatifs : PDF, JPG ou PNG ; 10 Mo par fichier, 50 Mo par bon. Résolution d'un scan &lt; 300 dpi : alerte non bloquante.</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RG-M03-17</w:t>
            </w:r>
          </w:p>
        </w:tc>
        <w:tc>
          <w:tcPr>
            <w:tcW w:type="dxa" w:w="722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Si le montant de la dépense (hors frais OM) &gt; 1 500 000 GNF, le visa du DP (ou du DP adjoint) est ajouté au circuit ; l'information est affichée avant soumission.</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RG-M03-18</w:t>
            </w:r>
          </w:p>
        </w:tc>
        <w:tc>
          <w:tcPr>
            <w:tcW w:type="dxa" w:w="722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Le numéro est attribué </w:t>
            </w:r>
            <w:r>
              <w:rPr>
                <w:rFonts w:ascii="Calibri" w:cs="Calibri" w:eastAsia="Calibri" w:hAnsi="Calibri"/>
                <w:b/>
                <w:bCs/>
                <w:sz w:val="18"/>
                <w:szCs w:val="18"/>
              </w:rPr>
              <w:t xml:space="preserve">à la soumission</w:t>
            </w:r>
            <w:r>
              <w:rPr>
                <w:rFonts w:ascii="Calibri" w:cs="Calibri" w:eastAsia="Calibri" w:hAnsi="Calibri"/>
                <w:sz w:val="18"/>
                <w:szCs w:val="18"/>
              </w:rPr>
              <w:t xml:space="preserve">, sur une séquence propre à chaque caisse et à chaque année. Format par défaut : BC-[code caisse]-[AAAA]-[00001].</w:t>
            </w:r>
          </w:p>
        </w:tc>
        <w:tc>
          <w:tcPr>
            <w:tcW w:type="dxa" w:w="1156"/>
            <w:tcBorders>
              <w:top w:val="single" w:color="BFC7D5" w:sz="4"/>
              <w:left w:val="single" w:color="BFC7D5" w:sz="4"/>
              <w:bottom w:val="single" w:color="BFC7D5" w:sz="4"/>
              <w:right w:val="single" w:color="BFC7D5" w:sz="4"/>
            </w:tcBorders>
            <w:shd w:fill="FDEBD9" w:color="auto" w:val="clear"/>
            <w:tcMar>
              <w:top w:type="dxa" w:w="50"/>
              <w:left w:type="dxa" w:w="90"/>
              <w:bottom w:type="dxa" w:w="50"/>
              <w:right w:type="dxa" w:w="90"/>
            </w:tcMar>
            <w:vAlign w:val="top"/>
          </w:tcPr>
          <w:p>
            <w:pPr>
              <w:spacing w:after="20"/>
            </w:pPr>
            <w:r>
              <w:rPr>
                <w:rFonts w:ascii="Calibri" w:cs="Calibri" w:eastAsia="Calibri" w:hAnsi="Calibri"/>
                <w:color w:val="9A4A0B"/>
                <w:sz w:val="18"/>
                <w:szCs w:val="18"/>
              </w:rPr>
              <w:t xml:space="preserve">Défaut ⚠</w:t>
            </w:r>
          </w:p>
        </w:tc>
      </w:tr>
      <w:tr>
        <w:trPr>
          <w:cantSplit/>
        </w:trPr>
        <w:tc>
          <w:tcPr>
            <w:tcW w:type="dxa" w:w="125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RG-M03-19</w:t>
            </w:r>
          </w:p>
        </w:tc>
        <w:tc>
          <w:tcPr>
            <w:tcW w:type="dxa" w:w="722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Un brouillon n'a pas de numéro ; il est supprimé automatiquement après 30 jours sans modification (paramétrable).</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RG-M03-20</w:t>
            </w:r>
          </w:p>
        </w:tc>
        <w:tc>
          <w:tcPr>
            <w:tcW w:type="dxa" w:w="722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Doublon probable : même bénéficiaire et même montant sur les 7 derniers jours (paramétrable) → alerte non bloquante ; le demandeur confirme ; l'alerte reste visible des valideurs.</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RG-M03-21</w:t>
            </w:r>
          </w:p>
        </w:tc>
        <w:tc>
          <w:tcPr>
            <w:tcW w:type="dxa" w:w="722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BP en retard du bénéficiaire : comportement selon le paramètre « blocage BP en retard » (voir RG-M07-06). Défaut : nouveau BP bloqué, BD autorisé avec bannière.</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RG-M03-22</w:t>
            </w:r>
          </w:p>
        </w:tc>
        <w:tc>
          <w:tcPr>
            <w:tcW w:type="dxa" w:w="722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Bon généré depuis un ODM : bénéficiaire, montant, motif, service et OR repris de l'ODM et verrouillés ; lien vers l'ODM.</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RG-M03-23</w:t>
            </w:r>
          </w:p>
        </w:tc>
        <w:tc>
          <w:tcPr>
            <w:tcW w:type="dxa" w:w="722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Bon rejeté : il revient au demandeur, garde son numéro, est modifiable et resoumis ; chaque version est conservée.</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RG-M03-24</w:t>
            </w:r>
          </w:p>
        </w:tc>
        <w:tc>
          <w:tcPr>
            <w:tcW w:type="dxa" w:w="722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Le demandeur ne peut pas viser son propre bon, à aucune étape.</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RG-M03-25</w:t>
            </w:r>
          </w:p>
        </w:tc>
        <w:tc>
          <w:tcPr>
            <w:tcW w:type="dxa" w:w="722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Toute création, modification et soumission est horodatée et inscrite au journal d'audit (M15).</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RG-M03-26</w:t>
            </w:r>
          </w:p>
        </w:tc>
        <w:tc>
          <w:tcPr>
            <w:tcW w:type="dxa" w:w="722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Pièce déjà soumise (même empreinte numérique qu'une pièce d'un autre bon) : blocage, avec le numéro du bon d'origine (MSG-M03-16).</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bl>
    <w:p>
      <w:pPr>
        <w:spacing w:after="100"/>
      </w:pPr>
    </w:p>
    <w:p>
      <w:pPr>
        <w:pStyle w:val="Heading3"/>
      </w:pPr>
      <w:r>
        <w:t xml:space="preserve">Messages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1060"/>
        <w:gridCol w:w="7229"/>
      </w:tblGrid>
      <w:tr>
        <w:trPr>
          <w:tblHeader/>
        </w:trPr>
        <w:tc>
          <w:tcPr>
            <w:tcW w:type="dxa" w:w="1349"/>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1060"/>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Type</w:t>
            </w:r>
          </w:p>
        </w:tc>
        <w:tc>
          <w:tcPr>
            <w:tcW w:type="dxa" w:w="7229"/>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Texte affiché</w:t>
            </w:r>
          </w:p>
        </w:tc>
      </w:tr>
      <w:tr>
        <w:trPr>
          <w:cantSplit/>
        </w:trPr>
        <w:tc>
          <w:tcPr>
            <w:tcW w:type="dxa" w:w="134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MSG-M03-01</w:t>
            </w:r>
          </w:p>
        </w:tc>
        <w:tc>
          <w:tcPr>
            <w:tcW w:type="dxa" w:w="1060"/>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Blocage</w:t>
            </w:r>
          </w:p>
        </w:tc>
        <w:tc>
          <w:tcPr>
            <w:tcW w:type="dxa" w:w="722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Le motif doit contenir au moins 10 caractères.</w:t>
            </w:r>
          </w:p>
        </w:tc>
      </w:tr>
      <w:tr>
        <w:trPr>
          <w:cantSplit/>
        </w:trPr>
        <w:tc>
          <w:tcPr>
            <w:tcW w:type="dxa" w:w="134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MSG-M03-02</w:t>
            </w:r>
          </w:p>
        </w:tc>
        <w:tc>
          <w:tcPr>
            <w:tcW w:type="dxa" w:w="1060"/>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Blocage</w:t>
            </w:r>
          </w:p>
        </w:tc>
        <w:tc>
          <w:tcPr>
            <w:tcW w:type="dxa" w:w="722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Un bon provisoire ne peut être émis qu'au profit d'un salarié ou d'un visiteur du groupe.</w:t>
            </w:r>
          </w:p>
        </w:tc>
      </w:tr>
      <w:tr>
        <w:trPr>
          <w:cantSplit/>
        </w:trPr>
        <w:tc>
          <w:tcPr>
            <w:tcW w:type="dxa" w:w="134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MSG-M03-03</w:t>
            </w:r>
          </w:p>
        </w:tc>
        <w:tc>
          <w:tcPr>
            <w:tcW w:type="dxa" w:w="1060"/>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Info</w:t>
            </w:r>
          </w:p>
        </w:tc>
        <w:tc>
          <w:tcPr>
            <w:tcW w:type="dxa" w:w="722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Ce tiers est en attente de validation par la comptabilité. Vous serez notifié dès qu'il sera utilisable.</w:t>
            </w:r>
          </w:p>
        </w:tc>
      </w:tr>
      <w:tr>
        <w:trPr>
          <w:cantSplit/>
        </w:trPr>
        <w:tc>
          <w:tcPr>
            <w:tcW w:type="dxa" w:w="134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MSG-M03-04</w:t>
            </w:r>
          </w:p>
        </w:tc>
        <w:tc>
          <w:tcPr>
            <w:tcW w:type="dxa" w:w="1060"/>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Blocage</w:t>
            </w:r>
          </w:p>
        </w:tc>
        <w:tc>
          <w:tcPr>
            <w:tcW w:type="dxa" w:w="722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Ce tiers existe déjà : [nom]. Sélectionnez-le dans la liste.</w:t>
            </w:r>
          </w:p>
        </w:tc>
      </w:tr>
      <w:tr>
        <w:trPr>
          <w:cantSplit/>
        </w:trPr>
        <w:tc>
          <w:tcPr>
            <w:tcW w:type="dxa" w:w="134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MSG-M03-05</w:t>
            </w:r>
          </w:p>
        </w:tc>
        <w:tc>
          <w:tcPr>
            <w:tcW w:type="dxa" w:w="1060"/>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Info</w:t>
            </w:r>
          </w:p>
        </w:tc>
        <w:tc>
          <w:tcPr>
            <w:tcW w:type="dxa" w:w="722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Montant supérieur au plafond espèces de la caisse [caisse] ([plafond] GNF). Choisissez Orange Money, chèque ou virement.</w:t>
            </w:r>
          </w:p>
        </w:tc>
      </w:tr>
      <w:tr>
        <w:trPr>
          <w:cantSplit/>
        </w:trPr>
        <w:tc>
          <w:tcPr>
            <w:tcW w:type="dxa" w:w="134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MSG-M03-06</w:t>
            </w:r>
          </w:p>
        </w:tc>
        <w:tc>
          <w:tcPr>
            <w:tcW w:type="dxa" w:w="1060"/>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Info</w:t>
            </w:r>
          </w:p>
        </w:tc>
        <w:tc>
          <w:tcPr>
            <w:tcW w:type="dxa" w:w="722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Si le caissier retient Orange Money : frais estimés [frais] GNF ([taux] %), montant versé [montant versé] GNF.</w:t>
            </w:r>
          </w:p>
        </w:tc>
      </w:tr>
      <w:tr>
        <w:trPr>
          <w:cantSplit/>
        </w:trPr>
        <w:tc>
          <w:tcPr>
            <w:tcW w:type="dxa" w:w="134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MSG-M03-07</w:t>
            </w:r>
          </w:p>
        </w:tc>
        <w:tc>
          <w:tcPr>
            <w:tcW w:type="dxa" w:w="1060"/>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Blocage</w:t>
            </w:r>
          </w:p>
        </w:tc>
        <w:tc>
          <w:tcPr>
            <w:tcW w:type="dxa" w:w="722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Numéro d'OR invalide : 8 chiffres commençant par 110.</w:t>
            </w:r>
          </w:p>
        </w:tc>
      </w:tr>
      <w:tr>
        <w:trPr>
          <w:cantSplit/>
        </w:trPr>
        <w:tc>
          <w:tcPr>
            <w:tcW w:type="dxa" w:w="134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MSG-M03-08</w:t>
            </w:r>
          </w:p>
        </w:tc>
        <w:tc>
          <w:tcPr>
            <w:tcW w:type="dxa" w:w="1060"/>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Blocage</w:t>
            </w:r>
          </w:p>
        </w:tc>
        <w:tc>
          <w:tcPr>
            <w:tcW w:type="dxa" w:w="722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Sélectionnez le motif de l'urgence.</w:t>
            </w:r>
          </w:p>
        </w:tc>
      </w:tr>
      <w:tr>
        <w:trPr>
          <w:cantSplit/>
        </w:trPr>
        <w:tc>
          <w:tcPr>
            <w:tcW w:type="dxa" w:w="134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MSG-M03-09</w:t>
            </w:r>
          </w:p>
        </w:tc>
        <w:tc>
          <w:tcPr>
            <w:tcW w:type="dxa" w:w="1060"/>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Blocage</w:t>
            </w:r>
          </w:p>
        </w:tc>
        <w:tc>
          <w:tcPr>
            <w:tcW w:type="dxa" w:w="722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Un bon définitif doit comporter au moins une facture ou une proforma.</w:t>
            </w:r>
          </w:p>
        </w:tc>
      </w:tr>
      <w:tr>
        <w:trPr>
          <w:cantSplit/>
        </w:trPr>
        <w:tc>
          <w:tcPr>
            <w:tcW w:type="dxa" w:w="134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MSG-M03-10</w:t>
            </w:r>
          </w:p>
        </w:tc>
        <w:tc>
          <w:tcPr>
            <w:tcW w:type="dxa" w:w="1060"/>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Blocage</w:t>
            </w:r>
          </w:p>
        </w:tc>
        <w:tc>
          <w:tcPr>
            <w:tcW w:type="dxa" w:w="722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Fichier refusé : formats acceptés PDF, JPG, PNG ; 10 Mo maximum.</w:t>
            </w:r>
          </w:p>
        </w:tc>
      </w:tr>
      <w:tr>
        <w:trPr>
          <w:cantSplit/>
        </w:trPr>
        <w:tc>
          <w:tcPr>
            <w:tcW w:type="dxa" w:w="134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MSG-M03-11</w:t>
            </w:r>
          </w:p>
        </w:tc>
        <w:tc>
          <w:tcPr>
            <w:tcW w:type="dxa" w:w="1060"/>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Info</w:t>
            </w:r>
          </w:p>
        </w:tc>
        <w:tc>
          <w:tcPr>
            <w:tcW w:type="dxa" w:w="722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Ce bon nécessitera le visa du Directeur Pays (dépense &gt; 1 500 000 GNF).</w:t>
            </w:r>
          </w:p>
        </w:tc>
      </w:tr>
      <w:tr>
        <w:trPr>
          <w:cantSplit/>
        </w:trPr>
        <w:tc>
          <w:tcPr>
            <w:tcW w:type="dxa" w:w="134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MSG-M03-12</w:t>
            </w:r>
          </w:p>
        </w:tc>
        <w:tc>
          <w:tcPr>
            <w:tcW w:type="dxa" w:w="1060"/>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Alerte</w:t>
            </w:r>
          </w:p>
        </w:tc>
        <w:tc>
          <w:tcPr>
            <w:tcW w:type="dxa" w:w="722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Un bon de [montant] GNF pour [bénéficiaire] existe déjà ([n°], [date]). Confirmez qu'il ne s'agit pas d'un doublon.</w:t>
            </w:r>
          </w:p>
        </w:tc>
      </w:tr>
      <w:tr>
        <w:trPr>
          <w:cantSplit/>
        </w:trPr>
        <w:tc>
          <w:tcPr>
            <w:tcW w:type="dxa" w:w="134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MSG-M03-13</w:t>
            </w:r>
          </w:p>
        </w:tc>
        <w:tc>
          <w:tcPr>
            <w:tcW w:type="dxa" w:w="1060"/>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Blocage</w:t>
            </w:r>
          </w:p>
        </w:tc>
        <w:tc>
          <w:tcPr>
            <w:tcW w:type="dxa" w:w="722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[Bénéficiaire] a un bon provisoire non régularisé en retard ([n°], échéance [date]). Aucun nouveau bon provisoire ne peut être émis.</w:t>
            </w:r>
          </w:p>
        </w:tc>
      </w:tr>
      <w:tr>
        <w:trPr>
          <w:cantSplit/>
        </w:trPr>
        <w:tc>
          <w:tcPr>
            <w:tcW w:type="dxa" w:w="134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MSG-M03-14</w:t>
            </w:r>
          </w:p>
        </w:tc>
        <w:tc>
          <w:tcPr>
            <w:tcW w:type="dxa" w:w="1060"/>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Alerte</w:t>
            </w:r>
          </w:p>
        </w:tc>
        <w:tc>
          <w:tcPr>
            <w:tcW w:type="dxa" w:w="722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[Bénéficiaire] a un bon provisoire non régularisé en retard ([n°]). Ce bon définitif sera signalé aux valideurs.</w:t>
            </w:r>
          </w:p>
        </w:tc>
      </w:tr>
      <w:tr>
        <w:trPr>
          <w:cantSplit/>
        </w:trPr>
        <w:tc>
          <w:tcPr>
            <w:tcW w:type="dxa" w:w="134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MSG-M03-15</w:t>
            </w:r>
          </w:p>
        </w:tc>
        <w:tc>
          <w:tcPr>
            <w:tcW w:type="dxa" w:w="1060"/>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Succès</w:t>
            </w:r>
          </w:p>
        </w:tc>
        <w:tc>
          <w:tcPr>
            <w:tcW w:type="dxa" w:w="722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Bon [n°] soumis. Prochaine étape : [valideur], délai [délai].</w:t>
            </w:r>
          </w:p>
        </w:tc>
      </w:tr>
      <w:tr>
        <w:trPr>
          <w:cantSplit/>
        </w:trPr>
        <w:tc>
          <w:tcPr>
            <w:tcW w:type="dxa" w:w="134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MSG-M03-16</w:t>
            </w:r>
          </w:p>
        </w:tc>
        <w:tc>
          <w:tcPr>
            <w:tcW w:type="dxa" w:w="1060"/>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Blocage</w:t>
            </w:r>
          </w:p>
        </w:tc>
        <w:tc>
          <w:tcPr>
            <w:tcW w:type="dxa" w:w="722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Cette pièce a déjà été jointe au bon [n°] du [date].</w:t>
            </w:r>
          </w:p>
        </w:tc>
      </w:tr>
    </w:tbl>
    <w:p>
      <w:pPr>
        <w:spacing w:after="100"/>
      </w:pPr>
    </w:p>
    <w:p>
      <w:pPr>
        <w:pStyle w:val="Heading3"/>
      </w:pPr>
      <w:r>
        <w:t xml:space="preserve">Scénarios couverts</w:t>
      </w:r>
    </w:p>
    <w:p>
      <w:pPr>
        <w:spacing w:after="100" w:before="0" w:line="276"/>
      </w:pPr>
      <w:r>
        <w:rPr>
          <w:rFonts w:ascii="Calibri" w:cs="Calibri" w:eastAsia="Calibri" w:hAnsi="Calibri"/>
          <w:sz w:val="21"/>
          <w:szCs w:val="21"/>
        </w:rPr>
        <w:t xml:space="preserve">SC-01 à SC-04, SC-10, SC-11 (voir Annexe A et cahier Excel).</w:t>
      </w:r>
    </w:p>
    <w:p>
      <w:pPr>
        <w:pStyle w:val="Heading2"/>
      </w:pPr>
      <w:r>
        <w:t xml:space="preserve">7.2 M08 — Caisses, réapprovisionnement et caisse Atelier</w:t>
      </w:r>
    </w:p>
    <w:p>
      <w:pPr>
        <w:spacing w:after="100" w:before="0" w:line="276"/>
      </w:pPr>
      <w:r>
        <w:rPr>
          <w:rFonts w:ascii="Calibri" w:cs="Calibri" w:eastAsia="Calibri" w:hAnsi="Calibri"/>
          <w:b/>
          <w:bCs/>
          <w:sz w:val="21"/>
          <w:szCs w:val="21"/>
        </w:rPr>
        <w:t xml:space="preserve">Périmètre</w:t>
      </w:r>
      <w:r>
        <w:rPr>
          <w:rFonts w:ascii="Calibri" w:cs="Calibri" w:eastAsia="Calibri" w:hAnsi="Calibri"/>
          <w:sz w:val="21"/>
          <w:szCs w:val="21"/>
        </w:rPr>
        <w:t xml:space="preserve"> : soldes et mouvements de chaque caisse, alertes de seuil, réapprovisionnement par transfert entre caisses, encaissements clients, fonctionnement en avance fixe de la caisse Atelier.</w:t>
      </w:r>
    </w:p>
    <w:p>
      <w:pPr>
        <w:pStyle w:val="Heading3"/>
      </w:pPr>
      <w:r>
        <w:t xml:space="preserve">User stories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8481"/>
      </w:tblGrid>
      <w:tr>
        <w:trPr>
          <w:tblHeader/>
        </w:trPr>
        <w:tc>
          <w:tcPr>
            <w:tcW w:type="dxa" w:w="1157"/>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8481"/>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En tant que…, je veux…</w:t>
            </w:r>
          </w:p>
        </w:tc>
      </w:tr>
      <w:tr>
        <w:trPr>
          <w:cantSplit/>
        </w:trPr>
        <w:tc>
          <w:tcPr>
            <w:tcW w:type="dxa" w:w="1157"/>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US-01</w:t>
            </w:r>
          </w:p>
        </w:tc>
        <w:tc>
          <w:tcPr>
            <w:tcW w:type="dxa" w:w="8481"/>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Caissier : voir le solde et les mouvements de </w:t>
            </w:r>
            <w:r>
              <w:rPr>
                <w:rFonts w:ascii="Calibri" w:cs="Calibri" w:eastAsia="Calibri" w:hAnsi="Calibri"/>
                <w:b/>
                <w:bCs/>
                <w:sz w:val="18"/>
                <w:szCs w:val="18"/>
              </w:rPr>
              <w:t xml:space="preserve">ma</w:t>
            </w:r>
            <w:r>
              <w:rPr>
                <w:rFonts w:ascii="Calibri" w:cs="Calibri" w:eastAsia="Calibri" w:hAnsi="Calibri"/>
                <w:sz w:val="18"/>
                <w:szCs w:val="18"/>
              </w:rPr>
              <w:t xml:space="preserve"> caisse en temps réel</w:t>
            </w:r>
          </w:p>
        </w:tc>
      </w:tr>
      <w:tr>
        <w:trPr>
          <w:cantSplit/>
        </w:trPr>
        <w:tc>
          <w:tcPr>
            <w:tcW w:type="dxa" w:w="1157"/>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US-02</w:t>
            </w:r>
          </w:p>
        </w:tc>
        <w:tc>
          <w:tcPr>
            <w:tcW w:type="dxa" w:w="8481"/>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Caissier : être alerté quand mon solde passe sous le seuil de réapprovisionnement</w:t>
            </w:r>
          </w:p>
        </w:tc>
      </w:tr>
      <w:tr>
        <w:trPr>
          <w:cantSplit/>
        </w:trPr>
        <w:tc>
          <w:tcPr>
            <w:tcW w:type="dxa" w:w="1157"/>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US-03</w:t>
            </w:r>
          </w:p>
        </w:tc>
        <w:tc>
          <w:tcPr>
            <w:tcW w:type="dxa" w:w="8481"/>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Caissier : demander un réapprovisionnement avec le rapprochement comptable signé, le billetage et le PV d'arrêté du jour</w:t>
            </w:r>
          </w:p>
        </w:tc>
      </w:tr>
      <w:tr>
        <w:trPr>
          <w:cantSplit/>
        </w:trPr>
        <w:tc>
          <w:tcPr>
            <w:tcW w:type="dxa" w:w="1157"/>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US-04</w:t>
            </w:r>
          </w:p>
        </w:tc>
        <w:tc>
          <w:tcPr>
            <w:tcW w:type="dxa" w:w="8481"/>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Gérante de la caisse Atelier : voir le montant proposé pour revenir à l'avance fixe de 15 000 000 GNF</w:t>
            </w:r>
          </w:p>
        </w:tc>
      </w:tr>
      <w:tr>
        <w:trPr>
          <w:cantSplit/>
        </w:trPr>
        <w:tc>
          <w:tcPr>
            <w:tcW w:type="dxa" w:w="1157"/>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US-05</w:t>
            </w:r>
          </w:p>
        </w:tc>
        <w:tc>
          <w:tcPr>
            <w:tcW w:type="dxa" w:w="8481"/>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Trésorerie : valider ou refuser une demande de réapprovisionnement</w:t>
            </w:r>
          </w:p>
        </w:tc>
      </w:tr>
      <w:tr>
        <w:trPr>
          <w:cantSplit/>
        </w:trPr>
        <w:tc>
          <w:tcPr>
            <w:tcW w:type="dxa" w:w="1157"/>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US-06</w:t>
            </w:r>
          </w:p>
        </w:tc>
        <w:tc>
          <w:tcPr>
            <w:tcW w:type="dxa" w:w="8481"/>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Trésorerie : exécuter le réapprovisionnement validé (chèque, mise à disposition bancaire, Orange Money)</w:t>
            </w:r>
          </w:p>
        </w:tc>
      </w:tr>
      <w:tr>
        <w:trPr>
          <w:cantSplit/>
        </w:trPr>
        <w:tc>
          <w:tcPr>
            <w:tcW w:type="dxa" w:w="1157"/>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US-10</w:t>
            </w:r>
          </w:p>
        </w:tc>
        <w:tc>
          <w:tcPr>
            <w:tcW w:type="dxa" w:w="8481"/>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Trésorière, Chef comptable, DAF : valider la réconciliation hebdomadaire de la caisse Orange Money</w:t>
            </w:r>
          </w:p>
        </w:tc>
      </w:tr>
      <w:tr>
        <w:trPr>
          <w:cantSplit/>
        </w:trPr>
        <w:tc>
          <w:tcPr>
            <w:tcW w:type="dxa" w:w="1157"/>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US-07</w:t>
            </w:r>
          </w:p>
        </w:tc>
        <w:tc>
          <w:tcPr>
            <w:tcW w:type="dxa" w:w="8481"/>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Caissier destinataire : confirmer la réception des fonds</w:t>
            </w:r>
          </w:p>
        </w:tc>
      </w:tr>
      <w:tr>
        <w:trPr>
          <w:cantSplit/>
        </w:trPr>
        <w:tc>
          <w:tcPr>
            <w:tcW w:type="dxa" w:w="1157"/>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US-08</w:t>
            </w:r>
          </w:p>
        </w:tc>
        <w:tc>
          <w:tcPr>
            <w:tcW w:type="dxa" w:w="8481"/>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Caissier de Conakry principale : enregistrer un encaissement client</w:t>
            </w:r>
          </w:p>
        </w:tc>
      </w:tr>
      <w:tr>
        <w:trPr>
          <w:cantSplit/>
        </w:trPr>
        <w:tc>
          <w:tcPr>
            <w:tcW w:type="dxa" w:w="1157"/>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US-09</w:t>
            </w:r>
          </w:p>
        </w:tc>
        <w:tc>
          <w:tcPr>
            <w:tcW w:type="dxa" w:w="8481"/>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DAF / Chef comptable : voir les soldes de toutes les caisses et les alertes en cours</w:t>
            </w:r>
          </w:p>
        </w:tc>
      </w:tr>
    </w:tbl>
    <w:p>
      <w:pPr>
        <w:spacing w:after="100"/>
      </w:pPr>
    </w:p>
    <w:p>
      <w:pPr>
        <w:pStyle w:val="Heading3"/>
      </w:pPr>
      <w:r>
        <w:t xml:space="preserve">Cycle d'un réapprovisionnement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1928"/>
        <w:gridCol w:w="3855"/>
        <w:gridCol w:w="3084"/>
      </w:tblGrid>
      <w:tr>
        <w:trPr>
          <w:tblHeader/>
        </w:trPr>
        <w:tc>
          <w:tcPr>
            <w:tcW w:type="dxa" w:w="771"/>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Étape</w:t>
            </w:r>
          </w:p>
        </w:tc>
        <w:tc>
          <w:tcPr>
            <w:tcW w:type="dxa" w:w="1928"/>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Acteur</w:t>
            </w:r>
          </w:p>
        </w:tc>
        <w:tc>
          <w:tcPr>
            <w:tcW w:type="dxa" w:w="3855"/>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Action</w:t>
            </w:r>
          </w:p>
        </w:tc>
        <w:tc>
          <w:tcPr>
            <w:tcW w:type="dxa" w:w="3084"/>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Résultat</w:t>
            </w:r>
          </w:p>
        </w:tc>
      </w:tr>
      <w:tr>
        <w:trPr>
          <w:cantSplit/>
        </w:trPr>
        <w:tc>
          <w:tcPr>
            <w:tcW w:type="dxa" w:w="771"/>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1</w:t>
            </w:r>
          </w:p>
        </w:tc>
        <w:tc>
          <w:tcPr>
            <w:tcW w:type="dxa" w:w="1928"/>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Plateforme</w:t>
            </w:r>
          </w:p>
        </w:tc>
        <w:tc>
          <w:tcPr>
            <w:tcW w:type="dxa" w:w="3855"/>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Le solde passe sous le seuil</w:t>
            </w:r>
          </w:p>
        </w:tc>
        <w:tc>
          <w:tcPr>
            <w:tcW w:type="dxa" w:w="3084"/>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Alerte au caissier, à la Trésorerie et au Chef comptable</w:t>
            </w:r>
          </w:p>
        </w:tc>
      </w:tr>
      <w:tr>
        <w:trPr>
          <w:cantSplit/>
        </w:trPr>
        <w:tc>
          <w:tcPr>
            <w:tcW w:type="dxa" w:w="771"/>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2</w:t>
            </w:r>
          </w:p>
        </w:tc>
        <w:tc>
          <w:tcPr>
            <w:tcW w:type="dxa" w:w="1928"/>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Caissier</w:t>
            </w:r>
          </w:p>
        </w:tc>
        <w:tc>
          <w:tcPr>
            <w:tcW w:type="dxa" w:w="3855"/>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Joint le rapprochement comptable signé, saisit le billetage, signe le PV d'arrêté, crée la demande</w:t>
            </w:r>
          </w:p>
        </w:tc>
        <w:tc>
          <w:tcPr>
            <w:tcW w:type="dxa" w:w="3084"/>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Demande « Soumise » avec montant proposé</w:t>
            </w:r>
          </w:p>
        </w:tc>
      </w:tr>
      <w:tr>
        <w:trPr>
          <w:cantSplit/>
        </w:trPr>
        <w:tc>
          <w:tcPr>
            <w:tcW w:type="dxa" w:w="771"/>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3</w:t>
            </w:r>
          </w:p>
        </w:tc>
        <w:tc>
          <w:tcPr>
            <w:tcW w:type="dxa" w:w="1928"/>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Trésorerie</w:t>
            </w:r>
          </w:p>
        </w:tc>
        <w:tc>
          <w:tcPr>
            <w:tcW w:type="dxa" w:w="3855"/>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Valide (montant éventuellement réduit) ou refuse avec motif</w:t>
            </w:r>
          </w:p>
        </w:tc>
        <w:tc>
          <w:tcPr>
            <w:tcW w:type="dxa" w:w="3084"/>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Demande « Validée Trésorerie »</w:t>
            </w:r>
          </w:p>
        </w:tc>
      </w:tr>
      <w:tr>
        <w:trPr>
          <w:cantSplit/>
        </w:trPr>
        <w:tc>
          <w:tcPr>
            <w:tcW w:type="dxa" w:w="771"/>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4</w:t>
            </w:r>
          </w:p>
        </w:tc>
        <w:tc>
          <w:tcPr>
            <w:tcW w:type="dxa" w:w="1928"/>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Chef comptable / DAF</w:t>
            </w:r>
          </w:p>
        </w:tc>
        <w:tc>
          <w:tcPr>
            <w:tcW w:type="dxa" w:w="3855"/>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Vise</w:t>
            </w:r>
          </w:p>
        </w:tc>
        <w:tc>
          <w:tcPr>
            <w:tcW w:type="dxa" w:w="3084"/>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Demande « Visée Finance »</w:t>
            </w:r>
          </w:p>
        </w:tc>
      </w:tr>
      <w:tr>
        <w:trPr>
          <w:cantSplit/>
        </w:trPr>
        <w:tc>
          <w:tcPr>
            <w:tcW w:type="dxa" w:w="771"/>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5</w:t>
            </w:r>
          </w:p>
        </w:tc>
        <w:tc>
          <w:tcPr>
            <w:tcW w:type="dxa" w:w="1928"/>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Directeur Pays</w:t>
            </w:r>
          </w:p>
        </w:tc>
        <w:tc>
          <w:tcPr>
            <w:tcW w:type="dxa" w:w="3855"/>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Approuve (habilitation ≤ 500 000 000 GNF)</w:t>
            </w:r>
          </w:p>
        </w:tc>
        <w:tc>
          <w:tcPr>
            <w:tcW w:type="dxa" w:w="3084"/>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Demande « Approuvée »</w:t>
            </w:r>
          </w:p>
        </w:tc>
      </w:tr>
      <w:tr>
        <w:trPr>
          <w:cantSplit/>
        </w:trPr>
        <w:tc>
          <w:tcPr>
            <w:tcW w:type="dxa" w:w="771"/>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6</w:t>
            </w:r>
          </w:p>
        </w:tc>
        <w:tc>
          <w:tcPr>
            <w:tcW w:type="dxa" w:w="1928"/>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Trésorerie</w:t>
            </w:r>
          </w:p>
        </w:tc>
        <w:tc>
          <w:tcPr>
            <w:tcW w:type="dxa" w:w="3855"/>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Exécute : chèque déposé en banque, mise à disposition de fonds, ou Orange Money</w:t>
            </w:r>
          </w:p>
        </w:tc>
        <w:tc>
          <w:tcPr>
            <w:tcW w:type="dxa" w:w="3084"/>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Réapprovisionnement « En cours »</w:t>
            </w:r>
          </w:p>
        </w:tc>
      </w:tr>
      <w:tr>
        <w:trPr>
          <w:cantSplit/>
        </w:trPr>
        <w:tc>
          <w:tcPr>
            <w:tcW w:type="dxa" w:w="771"/>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7</w:t>
            </w:r>
          </w:p>
        </w:tc>
        <w:tc>
          <w:tcPr>
            <w:tcW w:type="dxa" w:w="1928"/>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Caissier</w:t>
            </w:r>
          </w:p>
        </w:tc>
        <w:tc>
          <w:tcPr>
            <w:tcW w:type="dxa" w:w="3855"/>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Confirme le montant reçu (bordereau de retrait ou copie de mise à disposition)</w:t>
            </w:r>
          </w:p>
        </w:tc>
        <w:tc>
          <w:tcPr>
            <w:tcW w:type="dxa" w:w="3084"/>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Solde crédité ; écart éventuel signalé</w:t>
            </w:r>
          </w:p>
        </w:tc>
      </w:tr>
    </w:tbl>
    <w:p>
      <w:pPr>
        <w:spacing w:after="100"/>
      </w:pPr>
    </w:p>
    <w:p>
      <w:pPr>
        <w:pStyle w:val="Heading3"/>
      </w:pPr>
      <w:r>
        <w:t xml:space="preserve">Règles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7229"/>
        <w:gridCol w:w="1156"/>
      </w:tblGrid>
      <w:tr>
        <w:trPr>
          <w:tblHeader/>
        </w:trPr>
        <w:tc>
          <w:tcPr>
            <w:tcW w:type="dxa" w:w="1253"/>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7229"/>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Règle</w:t>
            </w:r>
          </w:p>
        </w:tc>
        <w:tc>
          <w:tcPr>
            <w:tcW w:type="dxa" w:w="1156"/>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Statut</w:t>
            </w:r>
          </w:p>
        </w:tc>
      </w:tr>
      <w:tr>
        <w:trPr>
          <w:cantSplit/>
        </w:trPr>
        <w:tc>
          <w:tcPr>
            <w:tcW w:type="dxa" w:w="125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RG-M08-01</w:t>
            </w:r>
          </w:p>
        </w:tc>
        <w:tc>
          <w:tcPr>
            <w:tcW w:type="dxa" w:w="722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Le solde est tenu </w:t>
            </w:r>
            <w:r>
              <w:rPr>
                <w:rFonts w:ascii="Calibri" w:cs="Calibri" w:eastAsia="Calibri" w:hAnsi="Calibri"/>
                <w:b/>
                <w:bCs/>
                <w:sz w:val="18"/>
                <w:szCs w:val="18"/>
              </w:rPr>
              <w:t xml:space="preserve">par caisse</w:t>
            </w:r>
            <w:r>
              <w:rPr>
                <w:rFonts w:ascii="Calibri" w:cs="Calibri" w:eastAsia="Calibri" w:hAnsi="Calibri"/>
                <w:sz w:val="18"/>
                <w:szCs w:val="18"/>
              </w:rPr>
              <w:t xml:space="preserve">. La caisse Atelier a son propre solde, distinct de Conakry principale, bien que rattachée au site de Conakry.</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RG-M08-02</w:t>
            </w:r>
          </w:p>
        </w:tc>
        <w:tc>
          <w:tcPr>
            <w:tcW w:type="dxa" w:w="722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Types de mouvement : décaissement de bon ; encaissements — approvisionnement, paiement client au comptant, rétrocession du reliquat d'un BP ; transfert émis (si activé) ; ajustement d'inventaire. Aucun autre mouvement possible. Chaque encaissement est tracé par un bordereau de retrait, une copie de mise à disposition ou un reçu d'encaissement (§5.3).</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RG-M08-03</w:t>
            </w:r>
          </w:p>
        </w:tc>
        <w:tc>
          <w:tcPr>
            <w:tcW w:type="dxa" w:w="722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Alerte de seuil : envoyée une fois au franchissement du seuil vers le bas (caissier, Trésorerie, Chef comptable) ; rappel quotidien tant que le solde reste sous le seuil.</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RG-M08-04</w:t>
            </w:r>
          </w:p>
        </w:tc>
        <w:tc>
          <w:tcPr>
            <w:tcW w:type="dxa" w:w="722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Un réapprovisionnement ne peut pas porter le solde au-dessus du plafond de caisse.</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RG-M08-05</w:t>
            </w:r>
          </w:p>
        </w:tc>
        <w:tc>
          <w:tcPr>
            <w:tcW w:type="dxa" w:w="722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Une demande exige le </w:t>
            </w:r>
            <w:r>
              <w:rPr>
                <w:rFonts w:ascii="Calibri" w:cs="Calibri" w:eastAsia="Calibri" w:hAnsi="Calibri"/>
                <w:b/>
                <w:bCs/>
                <w:sz w:val="18"/>
                <w:szCs w:val="18"/>
              </w:rPr>
              <w:t xml:space="preserve">rapprochement comptable du solde, signé</w:t>
            </w:r>
            <w:r>
              <w:rPr>
                <w:rFonts w:ascii="Calibri" w:cs="Calibri" w:eastAsia="Calibri" w:hAnsi="Calibri"/>
                <w:sz w:val="18"/>
                <w:szCs w:val="18"/>
              </w:rPr>
              <w:t xml:space="preserve">, et le </w:t>
            </w:r>
            <w:r>
              <w:rPr>
                <w:rFonts w:ascii="Calibri" w:cs="Calibri" w:eastAsia="Calibri" w:hAnsi="Calibri"/>
                <w:b/>
                <w:bCs/>
                <w:sz w:val="18"/>
                <w:szCs w:val="18"/>
              </w:rPr>
              <w:t xml:space="preserve">PV d'arrêté</w:t>
            </w:r>
            <w:r>
              <w:rPr>
                <w:rFonts w:ascii="Calibri" w:cs="Calibri" w:eastAsia="Calibri" w:hAnsi="Calibri"/>
                <w:sz w:val="18"/>
                <w:szCs w:val="18"/>
              </w:rPr>
              <w:t xml:space="preserve"> (Annexe 2) avec billetage du jour (§5.1.1.1). L'écart entre le billetage et le solde comptable est affiché.</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RG-M08-06</w:t>
            </w:r>
          </w:p>
        </w:tc>
        <w:tc>
          <w:tcPr>
            <w:tcW w:type="dxa" w:w="722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Montant proposé : plafond de caisse − solde pour une caisse classique ; </w:t>
            </w:r>
            <w:r>
              <w:rPr>
                <w:rFonts w:ascii="Calibri" w:cs="Calibri" w:eastAsia="Calibri" w:hAnsi="Calibri"/>
                <w:b/>
                <w:bCs/>
                <w:sz w:val="18"/>
                <w:szCs w:val="18"/>
              </w:rPr>
              <w:t xml:space="preserve">15 000 000 − solde</w:t>
            </w:r>
            <w:r>
              <w:rPr>
                <w:rFonts w:ascii="Calibri" w:cs="Calibri" w:eastAsia="Calibri" w:hAnsi="Calibri"/>
                <w:sz w:val="18"/>
                <w:szCs w:val="18"/>
              </w:rPr>
              <w:t xml:space="preserve"> pour la caisse Atelier (avance fixe). Modifiable à la baisse avec motif.</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RG-M08-07</w:t>
            </w:r>
          </w:p>
        </w:tc>
        <w:tc>
          <w:tcPr>
            <w:tcW w:type="dxa" w:w="722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Circuit du réapprovisionnement : caissier → Trésorerie → Chef comptable / DAF → Directeur Pays. Aucun réapprovisionnement au-delà de l'habilitation du DP (500 000 000 GNF). En l'absence du DP : deux membres du CODIR conjointement, selon la délégation de gestion courante (§5.1).</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RG-M08-08</w:t>
            </w:r>
          </w:p>
        </w:tc>
        <w:tc>
          <w:tcPr>
            <w:tcW w:type="dxa" w:w="722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Origine des fonds : chèque déposé en banque, mise à disposition de fonds par la banque, ou Orange Money (§5.1.1.1). La caisse OM est réapprovisionnée par virement bancaire. Option « transfert depuis une autre caisse par bon de caisse », activable par caisse (pratique actuelle de la caisse Atelier).</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RG-M08-09</w:t>
            </w:r>
          </w:p>
        </w:tc>
        <w:tc>
          <w:tcPr>
            <w:tcW w:type="dxa" w:w="722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Le solde destinataire n'est crédité qu'à la confirmation de réception. Tout écart entre montant émis et montant reçu crée une alerte au DAF.</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RG-M08-10</w:t>
            </w:r>
          </w:p>
        </w:tc>
        <w:tc>
          <w:tcPr>
            <w:tcW w:type="dxa" w:w="722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Encaissement client : </w:t>
            </w:r>
            <w:r>
              <w:rPr>
                <w:rFonts w:ascii="Calibri" w:cs="Calibri" w:eastAsia="Calibri" w:hAnsi="Calibri"/>
                <w:b/>
                <w:bCs/>
                <w:sz w:val="18"/>
                <w:szCs w:val="18"/>
              </w:rPr>
              <w:t xml:space="preserve">caisse de Conakry principale uniquement</w:t>
            </w:r>
            <w:r>
              <w:rPr>
                <w:rFonts w:ascii="Calibri" w:cs="Calibri" w:eastAsia="Calibri" w:hAnsi="Calibri"/>
                <w:sz w:val="18"/>
                <w:szCs w:val="18"/>
              </w:rPr>
              <w:t xml:space="preserve">. Champs : client, n° de pièce (OR ou facture), montant, mode. Reçu PDF généré. Un encaissement qui porterait le solde au-dessus du plafond de la caisse est bloqué ; la Trésorerie est alertée pour une remise en banque.</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RG-M08-11</w:t>
            </w:r>
          </w:p>
        </w:tc>
        <w:tc>
          <w:tcPr>
            <w:tcW w:type="dxa" w:w="722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La caisse Atelier a son propre carnet numéroté ; le numéro de départ de la séquence est paramétrable pour reprendre la suite du carnet papier (BC N° 0005xxx).</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RG-M08-12</w:t>
            </w:r>
          </w:p>
        </w:tc>
        <w:tc>
          <w:tcPr>
            <w:tcW w:type="dxa" w:w="722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Un caissier ne voit et n'opère que sa caisse. Les rôles transverses voient toutes les caisses.</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RG-M08-13</w:t>
            </w:r>
          </w:p>
        </w:tc>
        <w:tc>
          <w:tcPr>
            <w:tcW w:type="dxa" w:w="722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Caisse Orange Money : réconciliation </w:t>
            </w:r>
            <w:r>
              <w:rPr>
                <w:rFonts w:ascii="Calibri" w:cs="Calibri" w:eastAsia="Calibri" w:hAnsi="Calibri"/>
                <w:b/>
                <w:bCs/>
                <w:sz w:val="18"/>
                <w:szCs w:val="18"/>
              </w:rPr>
              <w:t xml:space="preserve">hebdomadaire</w:t>
            </w:r>
            <w:r>
              <w:rPr>
                <w:rFonts w:ascii="Calibri" w:cs="Calibri" w:eastAsia="Calibri" w:hAnsi="Calibri"/>
                <w:sz w:val="18"/>
                <w:szCs w:val="18"/>
              </w:rPr>
              <w:t xml:space="preserve"> entre le brouillard de caisse et le relevé de la plateforme (import du relevé), validée par la trésorière, le Chef comptable et le DAF (§5.4).</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bl>
    <w:p>
      <w:pPr>
        <w:spacing w:after="100"/>
      </w:pPr>
    </w:p>
    <w:p>
      <w:pPr>
        <w:pStyle w:val="Heading3"/>
      </w:pPr>
      <w:r>
        <w:t xml:space="preserve">Messages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1060"/>
        <w:gridCol w:w="7229"/>
      </w:tblGrid>
      <w:tr>
        <w:trPr>
          <w:tblHeader/>
        </w:trPr>
        <w:tc>
          <w:tcPr>
            <w:tcW w:type="dxa" w:w="1349"/>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1060"/>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Type</w:t>
            </w:r>
          </w:p>
        </w:tc>
        <w:tc>
          <w:tcPr>
            <w:tcW w:type="dxa" w:w="7229"/>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Texte affiché</w:t>
            </w:r>
          </w:p>
        </w:tc>
      </w:tr>
      <w:tr>
        <w:trPr>
          <w:cantSplit/>
        </w:trPr>
        <w:tc>
          <w:tcPr>
            <w:tcW w:type="dxa" w:w="134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MSG-M08-01</w:t>
            </w:r>
          </w:p>
        </w:tc>
        <w:tc>
          <w:tcPr>
            <w:tcW w:type="dxa" w:w="1060"/>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Alerte</w:t>
            </w:r>
          </w:p>
        </w:tc>
        <w:tc>
          <w:tcPr>
            <w:tcW w:type="dxa" w:w="722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Caisse [caisse] : solde [solde] GNF, sous le seuil de réapprovisionnement ([seuil] GNF).</w:t>
            </w:r>
          </w:p>
        </w:tc>
      </w:tr>
      <w:tr>
        <w:trPr>
          <w:cantSplit/>
        </w:trPr>
        <w:tc>
          <w:tcPr>
            <w:tcW w:type="dxa" w:w="134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MSG-M08-02</w:t>
            </w:r>
          </w:p>
        </w:tc>
        <w:tc>
          <w:tcPr>
            <w:tcW w:type="dxa" w:w="1060"/>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Blocage</w:t>
            </w:r>
          </w:p>
        </w:tc>
        <w:tc>
          <w:tcPr>
            <w:tcW w:type="dxa" w:w="722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Le montant demandé porterait le solde à [x] GNF, au-dessus du plafond de caisse ([plafond] GNF).</w:t>
            </w:r>
          </w:p>
        </w:tc>
      </w:tr>
      <w:tr>
        <w:trPr>
          <w:cantSplit/>
        </w:trPr>
        <w:tc>
          <w:tcPr>
            <w:tcW w:type="dxa" w:w="134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MSG-M08-03</w:t>
            </w:r>
          </w:p>
        </w:tc>
        <w:tc>
          <w:tcPr>
            <w:tcW w:type="dxa" w:w="1060"/>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Blocage</w:t>
            </w:r>
          </w:p>
        </w:tc>
        <w:tc>
          <w:tcPr>
            <w:tcW w:type="dxa" w:w="722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Joignez le rapprochement comptable signé, saisissez le billetage et validez le PV d'arrêté avant de demander un réapprovisionnement.</w:t>
            </w:r>
          </w:p>
        </w:tc>
      </w:tr>
      <w:tr>
        <w:trPr>
          <w:cantSplit/>
        </w:trPr>
        <w:tc>
          <w:tcPr>
            <w:tcW w:type="dxa" w:w="134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MSG-M08-04</w:t>
            </w:r>
          </w:p>
        </w:tc>
        <w:tc>
          <w:tcPr>
            <w:tcW w:type="dxa" w:w="1060"/>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Alerte</w:t>
            </w:r>
          </w:p>
        </w:tc>
        <w:tc>
          <w:tcPr>
            <w:tcW w:type="dxa" w:w="722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Écart de réception sur le transfert [n°] : émis [x] GNF, reçu [y] GNF.</w:t>
            </w:r>
          </w:p>
        </w:tc>
      </w:tr>
      <w:tr>
        <w:trPr>
          <w:cantSplit/>
        </w:trPr>
        <w:tc>
          <w:tcPr>
            <w:tcW w:type="dxa" w:w="134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MSG-M08-05</w:t>
            </w:r>
          </w:p>
        </w:tc>
        <w:tc>
          <w:tcPr>
            <w:tcW w:type="dxa" w:w="1060"/>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Blocage</w:t>
            </w:r>
          </w:p>
        </w:tc>
        <w:tc>
          <w:tcPr>
            <w:tcW w:type="dxa" w:w="722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Les encaissements clients ne sont autorisés que sur la caisse de Conakry principale.</w:t>
            </w:r>
          </w:p>
        </w:tc>
      </w:tr>
      <w:tr>
        <w:trPr>
          <w:cantSplit/>
        </w:trPr>
        <w:tc>
          <w:tcPr>
            <w:tcW w:type="dxa" w:w="134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MSG-M08-06</w:t>
            </w:r>
          </w:p>
        </w:tc>
        <w:tc>
          <w:tcPr>
            <w:tcW w:type="dxa" w:w="1060"/>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Blocage</w:t>
            </w:r>
          </w:p>
        </w:tc>
        <w:tc>
          <w:tcPr>
            <w:tcW w:type="dxa" w:w="722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Cet encaissement porterait le solde à [x] GNF, au-dessus du plafond de caisse ([plafond] GNF). Remise en banque nécessaire.</w:t>
            </w:r>
          </w:p>
        </w:tc>
      </w:tr>
    </w:tbl>
    <w:p>
      <w:pPr>
        <w:spacing w:after="100"/>
      </w:pPr>
    </w:p>
    <w:p>
      <w:pPr>
        <w:spacing w:after="100" w:before="0" w:line="276"/>
      </w:pPr>
      <w:r>
        <w:rPr>
          <w:rFonts w:ascii="Calibri" w:cs="Calibri" w:eastAsia="Calibri" w:hAnsi="Calibri"/>
          <w:b/>
          <w:bCs/>
          <w:sz w:val="21"/>
          <w:szCs w:val="21"/>
        </w:rPr>
        <w:t xml:space="preserve">Scénarios couverts</w:t>
      </w:r>
      <w:r>
        <w:rPr>
          <w:rFonts w:ascii="Calibri" w:cs="Calibri" w:eastAsia="Calibri" w:hAnsi="Calibri"/>
          <w:sz w:val="21"/>
          <w:szCs w:val="21"/>
        </w:rPr>
        <w:t xml:space="preserve"> : SC-15 à SC-17, SC-35.</w:t>
      </w:r>
    </w:p>
    <w:p>
      <w:pPr>
        <w:pStyle w:val="Heading2"/>
      </w:pPr>
      <w:r>
        <w:t xml:space="preserve">7.3 M12 — Ordres de mission (ODM)</w:t>
      </w:r>
    </w:p>
    <w:p>
      <w:pPr>
        <w:spacing w:after="100" w:before="0" w:line="276"/>
      </w:pPr>
      <w:r>
        <w:rPr>
          <w:rFonts w:ascii="Calibri" w:cs="Calibri" w:eastAsia="Calibri" w:hAnsi="Calibri"/>
          <w:b/>
          <w:bCs/>
          <w:sz w:val="21"/>
          <w:szCs w:val="21"/>
        </w:rPr>
        <w:t xml:space="preserve">Périmètre</w:t>
      </w:r>
      <w:r>
        <w:rPr>
          <w:rFonts w:ascii="Calibri" w:cs="Calibri" w:eastAsia="Calibri" w:hAnsi="Calibri"/>
          <w:sz w:val="21"/>
          <w:szCs w:val="21"/>
        </w:rPr>
        <w:t xml:space="preserve"> : création, calcul, validation, prolongation et clôture des ordres de mission intérieurs et extérieurs ; génération des bons de caisse correspondants. Rien n'est encore développé : le module est entièrement nouveau.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B2A4A" w:sz="24"/>
              <w:bottom w:val="none" w:color="FFFFFF" w:sz="0"/>
              <w:right w:val="none" w:color="FFFFFF" w:sz="0"/>
            </w:tcBorders>
            <w:shd w:fill="DCEBF7" w:color="auto" w:val="clear"/>
            <w:tcMar>
              <w:top w:type="dxa" w:w="100"/>
              <w:left w:type="dxa" w:w="160"/>
              <w:bottom w:type="dxa" w:w="100"/>
              <w:right w:type="dxa" w:w="160"/>
            </w:tcMar>
          </w:tcPr>
          <w:p>
            <w:pPr>
              <w:spacing w:after="60"/>
            </w:pPr>
            <w:r>
              <w:rPr>
                <w:rFonts w:ascii="Calibri" w:cs="Calibri" w:eastAsia="Calibri" w:hAnsi="Calibri"/>
                <w:b/>
                <w:bCs/>
                <w:color w:val="1B2A4A"/>
                <w:sz w:val="21"/>
                <w:szCs w:val="21"/>
              </w:rPr>
              <w:t xml:space="preserve">Principe directeur</w:t>
            </w:r>
          </w:p>
          <w:p>
            <w:pPr>
              <w:spacing w:after="50"/>
            </w:pPr>
            <w:r>
              <w:rPr>
                <w:rFonts w:ascii="Calibri" w:cs="Calibri" w:eastAsia="Calibri" w:hAnsi="Calibri"/>
                <w:sz w:val="20"/>
                <w:szCs w:val="20"/>
              </w:rPr>
              <w:t xml:space="preserve">L'ODM est créé et validé </w:t>
            </w:r>
            <w:r>
              <w:rPr>
                <w:rFonts w:ascii="Calibri" w:cs="Calibri" w:eastAsia="Calibri" w:hAnsi="Calibri"/>
                <w:b/>
                <w:bCs/>
                <w:sz w:val="20"/>
                <w:szCs w:val="20"/>
              </w:rPr>
              <w:t xml:space="preserve">d'abord</w:t>
            </w:r>
            <w:r>
              <w:rPr>
                <w:rFonts w:ascii="Calibri" w:cs="Calibri" w:eastAsia="Calibri" w:hAnsi="Calibri"/>
                <w:sz w:val="20"/>
                <w:szCs w:val="20"/>
              </w:rPr>
              <w:t xml:space="preserve">. Le ou les bons de caisse sont </w:t>
            </w:r>
            <w:r>
              <w:rPr>
                <w:rFonts w:ascii="Calibri" w:cs="Calibri" w:eastAsia="Calibri" w:hAnsi="Calibri"/>
                <w:b/>
                <w:bCs/>
                <w:sz w:val="20"/>
                <w:szCs w:val="20"/>
              </w:rPr>
              <w:t xml:space="preserve">ensuite</w:t>
            </w:r>
            <w:r>
              <w:rPr>
                <w:rFonts w:ascii="Calibri" w:cs="Calibri" w:eastAsia="Calibri" w:hAnsi="Calibri"/>
                <w:sz w:val="20"/>
                <w:szCs w:val="20"/>
              </w:rPr>
              <w:t xml:space="preserve"> générés à partir de l'ODM validé et suivent leur propre circuit complet (M04).</w:t>
            </w:r>
          </w:p>
          <w:p>
            <w:pPr>
              <w:spacing w:after="50"/>
            </w:pPr>
            <w:r>
              <w:rPr>
                <w:rFonts w:ascii="Calibri" w:cs="Calibri" w:eastAsia="Calibri" w:hAnsi="Calibri"/>
                <w:sz w:val="20"/>
                <w:szCs w:val="20"/>
              </w:rPr>
              <w:t xml:space="preserve">La plateforme remplace le fil d'emails « Neemba Service_Mission » : chaque création, prolongation ou régularisation est un événement tracé, notifié à la liste de diffusion du service.</w:t>
            </w:r>
          </w:p>
        </w:tc>
      </w:tr>
    </w:tbl>
    <w:p>
      <w:pPr>
        <w:spacing w:after="80"/>
      </w:pPr>
    </w:p>
    <w:p>
      <w:pPr>
        <w:pStyle w:val="Heading3"/>
      </w:pPr>
      <w:r>
        <w:t xml:space="preserve">Structure des données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Objet</w:t>
            </w:r>
          </w:p>
        </w:tc>
        <w:tc>
          <w:tcPr>
            <w:tcW w:type="dxa" w:w="7710"/>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Contenu</w:t>
            </w:r>
          </w:p>
        </w:tc>
      </w:tr>
      <w:tr>
        <w:trPr>
          <w:cantSplit/>
        </w:trPr>
        <w:tc>
          <w:tcPr>
            <w:tcW w:type="dxa" w:w="1928"/>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ODM (en-tête)</w:t>
            </w:r>
          </w:p>
        </w:tc>
        <w:tc>
          <w:tcPr>
            <w:tcW w:type="dxa" w:w="7710"/>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N°, type (intérieur / extérieur), nature (technique / non technique), service émetteur, demandeur, client(s), destination(s), but, véhicule, date de départ, date de retour prévue, date de retour réelle, prise en charge (Neemba / Client), statut</w:t>
            </w:r>
          </w:p>
        </w:tc>
      </w:tr>
      <w:tr>
        <w:trPr>
          <w:cantSplit/>
        </w:trPr>
        <w:tc>
          <w:tcPr>
            <w:tcW w:type="dxa" w:w="1928"/>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Participant</w:t>
            </w:r>
          </w:p>
        </w:tc>
        <w:tc>
          <w:tcPr>
            <w:tcW w:type="dxa" w:w="7710"/>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Salarié (matricule), service, statut cadre / non-cadre, n° OM, logé sur base vie (oui / non), indemnités calculées</w:t>
            </w:r>
          </w:p>
        </w:tc>
      </w:tr>
      <w:tr>
        <w:trPr>
          <w:cantSplit/>
        </w:trPr>
        <w:tc>
          <w:tcPr>
            <w:tcW w:type="dxa" w:w="1928"/>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OR lié</w:t>
            </w:r>
          </w:p>
        </w:tc>
        <w:tc>
          <w:tcPr>
            <w:tcW w:type="dxa" w:w="7710"/>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N° d'OR (8 chiffres, commence par 110), type VENTE / GARANTIE</w:t>
            </w:r>
          </w:p>
        </w:tc>
      </w:tr>
      <w:tr>
        <w:trPr>
          <w:cantSplit/>
        </w:trPr>
        <w:tc>
          <w:tcPr>
            <w:tcW w:type="dxa" w:w="1928"/>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Segment</w:t>
            </w:r>
          </w:p>
        </w:tc>
        <w:tc>
          <w:tcPr>
            <w:tcW w:type="dxa" w:w="7710"/>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ODM initial = segment 1 ; chaque prolongation = segment suivant, lié au précédent ; une « mission » = la chaîne de segments</w:t>
            </w:r>
          </w:p>
        </w:tc>
      </w:tr>
      <w:tr>
        <w:trPr>
          <w:cantSplit/>
        </w:trPr>
        <w:tc>
          <w:tcPr>
            <w:tcW w:type="dxa" w:w="1928"/>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Bon généré</w:t>
            </w:r>
          </w:p>
        </w:tc>
        <w:tc>
          <w:tcPr>
            <w:tcW w:type="dxa" w:w="7710"/>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Lien vers le ou les bons de caisse créés depuis l'ODM</w:t>
            </w:r>
          </w:p>
        </w:tc>
      </w:tr>
    </w:tbl>
    <w:p>
      <w:pPr>
        <w:spacing w:after="100"/>
      </w:pPr>
    </w:p>
    <w:p>
      <w:pPr>
        <w:pStyle w:val="Heading3"/>
      </w:pPr>
      <w:r>
        <w:t xml:space="preserve">User stories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8481"/>
      </w:tblGrid>
      <w:tr>
        <w:trPr>
          <w:tblHeader/>
        </w:trPr>
        <w:tc>
          <w:tcPr>
            <w:tcW w:type="dxa" w:w="1157"/>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8481"/>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En tant que…, je veux…</w:t>
            </w:r>
          </w:p>
        </w:tc>
      </w:tr>
      <w:tr>
        <w:trPr>
          <w:cantSplit/>
        </w:trPr>
        <w:tc>
          <w:tcPr>
            <w:tcW w:type="dxa" w:w="1157"/>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US-01</w:t>
            </w:r>
          </w:p>
        </w:tc>
        <w:tc>
          <w:tcPr>
            <w:tcW w:type="dxa" w:w="8481"/>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Demandeur : créer un ODM intérieur ou extérieur</w:t>
            </w:r>
          </w:p>
        </w:tc>
      </w:tr>
      <w:tr>
        <w:trPr>
          <w:cantSplit/>
        </w:trPr>
        <w:tc>
          <w:tcPr>
            <w:tcW w:type="dxa" w:w="1157"/>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US-02</w:t>
            </w:r>
          </w:p>
        </w:tc>
        <w:tc>
          <w:tcPr>
            <w:tcW w:type="dxa" w:w="8481"/>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Demandeur : ajouter un ou plusieurs participants</w:t>
            </w:r>
          </w:p>
        </w:tc>
      </w:tr>
      <w:tr>
        <w:trPr>
          <w:cantSplit/>
        </w:trPr>
        <w:tc>
          <w:tcPr>
            <w:tcW w:type="dxa" w:w="1157"/>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US-03</w:t>
            </w:r>
          </w:p>
        </w:tc>
        <w:tc>
          <w:tcPr>
            <w:tcW w:type="dxa" w:w="8481"/>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Demandeur : saisir clients, destinations, but, véhicule et dates</w:t>
            </w:r>
          </w:p>
        </w:tc>
      </w:tr>
      <w:tr>
        <w:trPr>
          <w:cantSplit/>
        </w:trPr>
        <w:tc>
          <w:tcPr>
            <w:tcW w:type="dxa" w:w="1157"/>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US-04</w:t>
            </w:r>
          </w:p>
        </w:tc>
        <w:tc>
          <w:tcPr>
            <w:tcW w:type="dxa" w:w="8481"/>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Demandeur : rattacher les OR de la mission (obligatoire si mission technique)</w:t>
            </w:r>
          </w:p>
        </w:tc>
      </w:tr>
      <w:tr>
        <w:trPr>
          <w:cantSplit/>
        </w:trPr>
        <w:tc>
          <w:tcPr>
            <w:tcW w:type="dxa" w:w="1157"/>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US-05</w:t>
            </w:r>
          </w:p>
        </w:tc>
        <w:tc>
          <w:tcPr>
            <w:tcW w:type="dxa" w:w="8481"/>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Demandeur : voir le calcul par participant (jours, nuits, indemnités, hébergement, total)</w:t>
            </w:r>
          </w:p>
        </w:tc>
      </w:tr>
      <w:tr>
        <w:trPr>
          <w:cantSplit/>
        </w:trPr>
        <w:tc>
          <w:tcPr>
            <w:tcW w:type="dxa" w:w="1157"/>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US-06</w:t>
            </w:r>
          </w:p>
        </w:tc>
        <w:tc>
          <w:tcPr>
            <w:tcW w:type="dxa" w:w="8481"/>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Demandeur : indiquer si les frais sont à la charge de Neemba ou du client</w:t>
            </w:r>
          </w:p>
        </w:tc>
      </w:tr>
      <w:tr>
        <w:trPr>
          <w:cantSplit/>
        </w:trPr>
        <w:tc>
          <w:tcPr>
            <w:tcW w:type="dxa" w:w="1157"/>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US-07</w:t>
            </w:r>
          </w:p>
        </w:tc>
        <w:tc>
          <w:tcPr>
            <w:tcW w:type="dxa" w:w="8481"/>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Valideur : voir l'ODM et son calcul, puis valider ou rejeter avec motif</w:t>
            </w:r>
          </w:p>
        </w:tc>
      </w:tr>
      <w:tr>
        <w:trPr>
          <w:cantSplit/>
        </w:trPr>
        <w:tc>
          <w:tcPr>
            <w:tcW w:type="dxa" w:w="1157"/>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US-08</w:t>
            </w:r>
          </w:p>
        </w:tc>
        <w:tc>
          <w:tcPr>
            <w:tcW w:type="dxa" w:w="8481"/>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Demandeur : générer le ou les bons de caisse (BD, et BP si autorisé) depuis l'ODM validé</w:t>
            </w:r>
          </w:p>
        </w:tc>
      </w:tr>
      <w:tr>
        <w:trPr>
          <w:cantSplit/>
        </w:trPr>
        <w:tc>
          <w:tcPr>
            <w:tcW w:type="dxa" w:w="1157"/>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US-09</w:t>
            </w:r>
          </w:p>
        </w:tc>
        <w:tc>
          <w:tcPr>
            <w:tcW w:type="dxa" w:w="8481"/>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Demandeur : prolonger une mission en cours</w:t>
            </w:r>
          </w:p>
        </w:tc>
      </w:tr>
      <w:tr>
        <w:trPr>
          <w:cantSplit/>
        </w:trPr>
        <w:tc>
          <w:tcPr>
            <w:tcW w:type="dxa" w:w="1157"/>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US-10</w:t>
            </w:r>
          </w:p>
        </w:tc>
        <w:tc>
          <w:tcPr>
            <w:tcW w:type="dxa" w:w="8481"/>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Demandeur : saisir le retour réel et régulariser si la mission est écourtée</w:t>
            </w:r>
          </w:p>
        </w:tc>
      </w:tr>
      <w:tr>
        <w:trPr>
          <w:cantSplit/>
        </w:trPr>
        <w:tc>
          <w:tcPr>
            <w:tcW w:type="dxa" w:w="1157"/>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US-11</w:t>
            </w:r>
          </w:p>
        </w:tc>
        <w:tc>
          <w:tcPr>
            <w:tcW w:type="dxa" w:w="8481"/>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Demandeur : être bloqué si un participant est déjà en mission sur la même période</w:t>
            </w:r>
          </w:p>
        </w:tc>
      </w:tr>
      <w:tr>
        <w:trPr>
          <w:cantSplit/>
        </w:trPr>
        <w:tc>
          <w:tcPr>
            <w:tcW w:type="dxa" w:w="1157"/>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US-12</w:t>
            </w:r>
          </w:p>
        </w:tc>
        <w:tc>
          <w:tcPr>
            <w:tcW w:type="dxa" w:w="8481"/>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Demandeur : demander l'avance carburant du véhicule de mission (M13)</w:t>
            </w:r>
          </w:p>
        </w:tc>
      </w:tr>
      <w:tr>
        <w:trPr>
          <w:cantSplit/>
        </w:trPr>
        <w:tc>
          <w:tcPr>
            <w:tcW w:type="dxa" w:w="1157"/>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US-13</w:t>
            </w:r>
          </w:p>
        </w:tc>
        <w:tc>
          <w:tcPr>
            <w:tcW w:type="dxa" w:w="8481"/>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Demandeur : imprimer la fiche d'indemnités et l'ordre de mission (autorisation de circuler)</w:t>
            </w:r>
          </w:p>
        </w:tc>
      </w:tr>
      <w:tr>
        <w:trPr>
          <w:cantSplit/>
        </w:trPr>
        <w:tc>
          <w:tcPr>
            <w:tcW w:type="dxa" w:w="1157"/>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US-14</w:t>
            </w:r>
          </w:p>
        </w:tc>
        <w:tc>
          <w:tcPr>
            <w:tcW w:type="dxa" w:w="8481"/>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DAF : suivre les missions en cours, leur durée cumulée et leur coût</w:t>
            </w:r>
          </w:p>
        </w:tc>
      </w:tr>
      <w:tr>
        <w:trPr>
          <w:cantSplit/>
        </w:trPr>
        <w:tc>
          <w:tcPr>
            <w:tcW w:type="dxa" w:w="1157"/>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US-15</w:t>
            </w:r>
          </w:p>
        </w:tc>
        <w:tc>
          <w:tcPr>
            <w:tcW w:type="dxa" w:w="8481"/>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Trésorerie : voir le taux de change appliqué à un ODM extérieur</w:t>
            </w:r>
          </w:p>
        </w:tc>
      </w:tr>
    </w:tbl>
    <w:p>
      <w:pPr>
        <w:spacing w:after="100"/>
      </w:pPr>
    </w:p>
    <w:p>
      <w:pPr>
        <w:pStyle w:val="Heading3"/>
      </w:pPr>
      <w:r>
        <w:t xml:space="preserve">Calcul des indemnités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4048"/>
        <w:gridCol w:w="3662"/>
      </w:tblGrid>
      <w:tr>
        <w:trPr>
          <w:tblHeader/>
        </w:trPr>
        <w:tc>
          <w:tcPr>
            <w:tcW w:type="dxa" w:w="1928"/>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Élément</w:t>
            </w:r>
          </w:p>
        </w:tc>
        <w:tc>
          <w:tcPr>
            <w:tcW w:type="dxa" w:w="4048"/>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ODM intérieur</w:t>
            </w:r>
          </w:p>
        </w:tc>
        <w:tc>
          <w:tcPr>
            <w:tcW w:type="dxa" w:w="3662"/>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ODM extérieur</w:t>
            </w:r>
          </w:p>
        </w:tc>
      </w:tr>
      <w:tr>
        <w:trPr>
          <w:cantSplit/>
        </w:trPr>
        <w:tc>
          <w:tcPr>
            <w:tcW w:type="dxa" w:w="1928"/>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Jours</w:t>
            </w:r>
          </w:p>
        </w:tc>
        <w:tc>
          <w:tcPr>
            <w:tcW w:type="dxa" w:w="4048"/>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retour − départ + 1 (départ et retour comptés en jours pleins)</w:t>
            </w:r>
          </w:p>
        </w:tc>
        <w:tc>
          <w:tcPr>
            <w:tcW w:type="dxa" w:w="3662"/>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Idem</w:t>
            </w:r>
          </w:p>
        </w:tc>
      </w:tr>
      <w:tr>
        <w:trPr>
          <w:cantSplit/>
        </w:trPr>
        <w:tc>
          <w:tcPr>
            <w:tcW w:type="dxa" w:w="1928"/>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Nuits (segment initial)</w:t>
            </w:r>
          </w:p>
        </w:tc>
        <w:tc>
          <w:tcPr>
            <w:tcW w:type="dxa" w:w="4048"/>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jours − 1</w:t>
            </w:r>
          </w:p>
        </w:tc>
        <w:tc>
          <w:tcPr>
            <w:tcW w:type="dxa" w:w="3662"/>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Sans objet si hébergement pris en charge par la filiale d'accueil</w:t>
            </w:r>
          </w:p>
        </w:tc>
      </w:tr>
      <w:tr>
        <w:trPr>
          <w:cantSplit/>
        </w:trPr>
        <w:tc>
          <w:tcPr>
            <w:tcW w:type="dxa" w:w="1928"/>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Nuits (prolongation)</w:t>
            </w:r>
          </w:p>
        </w:tc>
        <w:tc>
          <w:tcPr>
            <w:tcW w:type="dxa" w:w="4048"/>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jours du segment − 1 </w:t>
            </w:r>
            <w:r>
              <w:rPr>
                <w:rFonts w:ascii="Calibri" w:cs="Calibri" w:eastAsia="Calibri" w:hAnsi="Calibri"/>
                <w:b/>
                <w:bCs/>
                <w:sz w:val="18"/>
                <w:szCs w:val="18"/>
              </w:rPr>
              <w:t xml:space="preserve">+ 1 nuit de rattrapage</w:t>
            </w:r>
            <w:r>
              <w:rPr>
                <w:rFonts w:ascii="Calibri" w:cs="Calibri" w:eastAsia="Calibri" w:hAnsi="Calibri"/>
                <w:sz w:val="18"/>
                <w:szCs w:val="18"/>
              </w:rPr>
              <w:t xml:space="preserve"> du segment précédent (= jours du segment)</w:t>
            </w:r>
          </w:p>
        </w:tc>
        <w:tc>
          <w:tcPr>
            <w:tcW w:type="dxa" w:w="3662"/>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Idem</w:t>
            </w:r>
          </w:p>
        </w:tc>
      </w:tr>
      <w:tr>
        <w:trPr>
          <w:cantSplit/>
        </w:trPr>
        <w:tc>
          <w:tcPr>
            <w:tcW w:type="dxa" w:w="1928"/>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Indemnité</w:t>
            </w:r>
          </w:p>
        </w:tc>
        <w:tc>
          <w:tcPr>
            <w:tcW w:type="dxa" w:w="4048"/>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jours × 250 000 GNF, affichée en 2 lignes de 125 000 × jours</w:t>
            </w:r>
          </w:p>
        </w:tc>
        <w:tc>
          <w:tcPr>
            <w:tcW w:type="dxa" w:w="3662"/>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jours × barème FCFA (22 000 non-cadre / 34 000 cadre) × taux du jour </w:t>
            </w:r>
            <w:r>
              <w:rPr>
                <w:rFonts w:ascii="Calibri" w:cs="Calibri" w:eastAsia="Calibri" w:hAnsi="Calibri"/>
                <w:b/>
                <w:bCs/>
                <w:sz w:val="18"/>
                <w:szCs w:val="18"/>
              </w:rPr>
              <w:t xml:space="preserve">du paiement</w:t>
            </w:r>
            <w:r>
              <w:rPr>
                <w:rFonts w:ascii="Calibri" w:cs="Calibri" w:eastAsia="Calibri" w:hAnsi="Calibri"/>
                <w:sz w:val="18"/>
                <w:szCs w:val="18"/>
              </w:rPr>
              <w:t xml:space="preserve"> → GNF</w:t>
            </w:r>
          </w:p>
        </w:tc>
      </w:tr>
      <w:tr>
        <w:trPr>
          <w:cantSplit/>
        </w:trPr>
        <w:tc>
          <w:tcPr>
            <w:tcW w:type="dxa" w:w="1928"/>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Hébergement</w:t>
            </w:r>
          </w:p>
        </w:tc>
        <w:tc>
          <w:tcPr>
            <w:tcW w:type="dxa" w:w="4048"/>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nuits × 500 000 GNF ; 0 si logé sur base vie</w:t>
            </w:r>
          </w:p>
        </w:tc>
        <w:tc>
          <w:tcPr>
            <w:tcW w:type="dxa" w:w="3662"/>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Selon le mode (RG-M12-26) : pris en charge par la filiale d'accueil (0) ; facture payée en GNF avant le départ ; facture payée en GNF au retour</w:t>
            </w:r>
          </w:p>
        </w:tc>
      </w:tr>
      <w:tr>
        <w:trPr>
          <w:cantSplit/>
        </w:trPr>
        <w:tc>
          <w:tcPr>
            <w:tcW w:type="dxa" w:w="1928"/>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Frais OM</w:t>
            </w:r>
          </w:p>
        </w:tc>
        <w:tc>
          <w:tcPr>
            <w:tcW w:type="dxa" w:w="4048"/>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Calculés sur chaque bon généré (RG-M03-09), affichés pour information sur la fiche</w:t>
            </w:r>
          </w:p>
        </w:tc>
        <w:tc>
          <w:tcPr>
            <w:tcW w:type="dxa" w:w="3662"/>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Idem</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B2A4A" w:sz="24"/>
              <w:bottom w:val="none" w:color="FFFFFF" w:sz="0"/>
              <w:right w:val="none" w:color="FFFFFF" w:sz="0"/>
            </w:tcBorders>
            <w:shd w:fill="DCEBF7" w:color="auto" w:val="clear"/>
            <w:tcMar>
              <w:top w:type="dxa" w:w="100"/>
              <w:left w:type="dxa" w:w="160"/>
              <w:bottom w:type="dxa" w:w="100"/>
              <w:right w:type="dxa" w:w="160"/>
            </w:tcMar>
          </w:tcPr>
          <w:p>
            <w:pPr>
              <w:spacing w:after="60"/>
            </w:pPr>
            <w:r>
              <w:rPr>
                <w:rFonts w:ascii="Calibri" w:cs="Calibri" w:eastAsia="Calibri" w:hAnsi="Calibri"/>
                <w:b/>
                <w:bCs/>
                <w:color w:val="1B2A4A"/>
                <w:sz w:val="21"/>
                <w:szCs w:val="21"/>
              </w:rPr>
              <w:t xml:space="preserve">Pourquoi une « nuit de rattrapage »</w:t>
            </w:r>
          </w:p>
          <w:p>
            <w:pPr>
              <w:spacing w:after="50"/>
            </w:pPr>
            <w:r>
              <w:rPr>
                <w:rFonts w:ascii="Calibri" w:cs="Calibri" w:eastAsia="Calibri" w:hAnsi="Calibri"/>
                <w:sz w:val="20"/>
                <w:szCs w:val="20"/>
              </w:rPr>
              <w:t xml:space="preserve">La règle nuits = jours − 1 s'applique à l'</w:t>
            </w:r>
            <w:r>
              <w:rPr>
                <w:rFonts w:ascii="Calibri" w:cs="Calibri" w:eastAsia="Calibri" w:hAnsi="Calibri"/>
                <w:b/>
                <w:bCs/>
                <w:sz w:val="20"/>
                <w:szCs w:val="20"/>
              </w:rPr>
              <w:t xml:space="preserve">ensemble de la mission</w:t>
            </w:r>
            <w:r>
              <w:rPr>
                <w:rFonts w:ascii="Calibri" w:cs="Calibri" w:eastAsia="Calibri" w:hAnsi="Calibri"/>
                <w:sz w:val="20"/>
                <w:szCs w:val="20"/>
              </w:rPr>
              <w:t xml:space="preserve">. Au moment où un segment est émis, il est le dernier : il compte jours − 1 nuits. Quand une prolongation arrive, ce segment devient intermédiaire et aurait dû compter autant de nuits que de jours. La nuit manquante est payée dans la prolongation, sur une ligne distincte « Nuitée de rattrapage — segment N°xxx ».</w:t>
            </w:r>
          </w:p>
          <w:p>
            <w:pPr>
              <w:spacing w:after="50"/>
            </w:pPr>
            <w:r>
              <w:rPr>
                <w:rFonts w:ascii="Calibri" w:cs="Calibri" w:eastAsia="Calibri" w:hAnsi="Calibri"/>
                <w:sz w:val="20"/>
                <w:szCs w:val="20"/>
              </w:rPr>
              <w:t xml:space="preserve">Contrôle : sur toute la chaîne, total des nuits = total des jours − 1 (hors jours sur base vie). Exemple complet en Annexe B.</w:t>
            </w:r>
          </w:p>
        </w:tc>
      </w:tr>
    </w:tbl>
    <w:p>
      <w:pPr>
        <w:spacing w:after="80"/>
      </w:pPr>
    </w:p>
    <w:p>
      <w:pPr>
        <w:pStyle w:val="Heading3"/>
      </w:pPr>
      <w:r>
        <w:t xml:space="preserve">Règles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7229"/>
        <w:gridCol w:w="1156"/>
      </w:tblGrid>
      <w:tr>
        <w:trPr>
          <w:tblHeader/>
        </w:trPr>
        <w:tc>
          <w:tcPr>
            <w:tcW w:type="dxa" w:w="1253"/>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7229"/>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Règle</w:t>
            </w:r>
          </w:p>
        </w:tc>
        <w:tc>
          <w:tcPr>
            <w:tcW w:type="dxa" w:w="1156"/>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Statut</w:t>
            </w:r>
          </w:p>
        </w:tc>
      </w:tr>
      <w:tr>
        <w:trPr>
          <w:cantSplit/>
        </w:trPr>
        <w:tc>
          <w:tcPr>
            <w:tcW w:type="dxa" w:w="125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RG-M12-01</w:t>
            </w:r>
          </w:p>
        </w:tc>
        <w:tc>
          <w:tcPr>
            <w:tcW w:type="dxa" w:w="722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Type intérieur ou extérieur, obligatoire. Les deux sont dans le périmètre.</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RG-M12-02</w:t>
            </w:r>
          </w:p>
        </w:tc>
        <w:tc>
          <w:tcPr>
            <w:tcW w:type="dxa" w:w="722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Nature technique ou non technique. Mission technique : au moins un OR lié obligatoire ; sinon facultatif. Défaut : case cochée par le demandeur, pré-cochée pour les services Technique et Aftermarket (définition à confirmer par Neemba).</w:t>
            </w:r>
          </w:p>
        </w:tc>
        <w:tc>
          <w:tcPr>
            <w:tcW w:type="dxa" w:w="1156"/>
            <w:tcBorders>
              <w:top w:val="single" w:color="BFC7D5" w:sz="4"/>
              <w:left w:val="single" w:color="BFC7D5" w:sz="4"/>
              <w:bottom w:val="single" w:color="BFC7D5" w:sz="4"/>
              <w:right w:val="single" w:color="BFC7D5" w:sz="4"/>
            </w:tcBorders>
            <w:shd w:fill="FDEBD9" w:color="auto" w:val="clear"/>
            <w:tcMar>
              <w:top w:type="dxa" w:w="50"/>
              <w:left w:type="dxa" w:w="90"/>
              <w:bottom w:type="dxa" w:w="50"/>
              <w:right w:type="dxa" w:w="90"/>
            </w:tcMar>
            <w:vAlign w:val="top"/>
          </w:tcPr>
          <w:p>
            <w:pPr>
              <w:spacing w:after="20"/>
            </w:pPr>
            <w:r>
              <w:rPr>
                <w:rFonts w:ascii="Calibri" w:cs="Calibri" w:eastAsia="Calibri" w:hAnsi="Calibri"/>
                <w:color w:val="9A4A0B"/>
                <w:sz w:val="18"/>
                <w:szCs w:val="18"/>
              </w:rPr>
              <w:t xml:space="preserve">Défaut ⚠</w:t>
            </w:r>
          </w:p>
        </w:tc>
      </w:tr>
      <w:tr>
        <w:trPr>
          <w:cantSplit/>
        </w:trPr>
        <w:tc>
          <w:tcPr>
            <w:tcW w:type="dxa" w:w="125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RG-M12-03</w:t>
            </w:r>
          </w:p>
        </w:tc>
        <w:tc>
          <w:tcPr>
            <w:tcW w:type="dxa" w:w="722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Numéro attribué à la soumission : N°[séquence]/[préfixe du service]/[AA] (ex. N°285/AT/26), séquence par préfixe et par année. Préfixes paramétrables par service.</w:t>
            </w:r>
          </w:p>
        </w:tc>
        <w:tc>
          <w:tcPr>
            <w:tcW w:type="dxa" w:w="1156"/>
            <w:tcBorders>
              <w:top w:val="single" w:color="BFC7D5" w:sz="4"/>
              <w:left w:val="single" w:color="BFC7D5" w:sz="4"/>
              <w:bottom w:val="single" w:color="BFC7D5" w:sz="4"/>
              <w:right w:val="single" w:color="BFC7D5" w:sz="4"/>
            </w:tcBorders>
            <w:shd w:fill="FDEBD9" w:color="auto" w:val="clear"/>
            <w:tcMar>
              <w:top w:type="dxa" w:w="50"/>
              <w:left w:type="dxa" w:w="90"/>
              <w:bottom w:type="dxa" w:w="50"/>
              <w:right w:type="dxa" w:w="90"/>
            </w:tcMar>
            <w:vAlign w:val="top"/>
          </w:tcPr>
          <w:p>
            <w:pPr>
              <w:spacing w:after="20"/>
            </w:pPr>
            <w:r>
              <w:rPr>
                <w:rFonts w:ascii="Calibri" w:cs="Calibri" w:eastAsia="Calibri" w:hAnsi="Calibri"/>
                <w:color w:val="9A4A0B"/>
                <w:sz w:val="18"/>
                <w:szCs w:val="18"/>
              </w:rPr>
              <w:t xml:space="preserve">Défaut ⚠</w:t>
            </w:r>
          </w:p>
        </w:tc>
      </w:tr>
      <w:tr>
        <w:trPr>
          <w:cantSplit/>
        </w:trPr>
        <w:tc>
          <w:tcPr>
            <w:tcW w:type="dxa" w:w="125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RG-M12-04</w:t>
            </w:r>
          </w:p>
        </w:tc>
        <w:tc>
          <w:tcPr>
            <w:tcW w:type="dxa" w:w="722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Participants : 1 à 10 (paramétrable), </w:t>
            </w:r>
            <w:r>
              <w:rPr>
                <w:rFonts w:ascii="Calibri" w:cs="Calibri" w:eastAsia="Calibri" w:hAnsi="Calibri"/>
                <w:b/>
                <w:bCs/>
                <w:sz w:val="18"/>
                <w:szCs w:val="18"/>
              </w:rPr>
              <w:t xml:space="preserve">salariés uniquement</w:t>
            </w:r>
            <w:r>
              <w:rPr>
                <w:rFonts w:ascii="Calibri" w:cs="Calibri" w:eastAsia="Calibri" w:hAnsi="Calibri"/>
                <w:sz w:val="18"/>
                <w:szCs w:val="18"/>
              </w:rPr>
              <w:t xml:space="preserve">, choisis dans le référentiel. Statut cadre, service et n° OM repris du référentiel.</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RG-M12-05</w:t>
            </w:r>
          </w:p>
        </w:tc>
        <w:tc>
          <w:tcPr>
            <w:tcW w:type="dxa" w:w="722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Champs obligatoires : service émetteur, au moins une destination, but (10 caractères minimum), dates de départ et de retour prévue, prise en charge. Clients et véhicule : facultatifs (véhicule obligatoire pour demander une avance carburant).</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RG-M12-06</w:t>
            </w:r>
          </w:p>
        </w:tc>
        <w:tc>
          <w:tcPr>
            <w:tcW w:type="dxa" w:w="722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Date de retour ≥ date de départ. Une date de départ passée est admise (régularisation) avec motif obligatoire.</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RG-M12-07</w:t>
            </w:r>
          </w:p>
        </w:tc>
        <w:tc>
          <w:tcPr>
            <w:tcW w:type="dxa" w:w="722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Calculs selon le tableau ci-dessus, par participant, avec les barèmes en vigueur à la date de soumission.</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RG-M12-08</w:t>
            </w:r>
          </w:p>
        </w:tc>
        <w:tc>
          <w:tcPr>
            <w:tcW w:type="dxa" w:w="722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Libellés des deux lignes de 125 000 GNF : paramétrables. Défaut : « Indemnité de repas » et « Indemnité de déplacement ».</w:t>
            </w:r>
          </w:p>
        </w:tc>
        <w:tc>
          <w:tcPr>
            <w:tcW w:type="dxa" w:w="1156"/>
            <w:tcBorders>
              <w:top w:val="single" w:color="BFC7D5" w:sz="4"/>
              <w:left w:val="single" w:color="BFC7D5" w:sz="4"/>
              <w:bottom w:val="single" w:color="BFC7D5" w:sz="4"/>
              <w:right w:val="single" w:color="BFC7D5" w:sz="4"/>
            </w:tcBorders>
            <w:shd w:fill="FDEBD9" w:color="auto" w:val="clear"/>
            <w:tcMar>
              <w:top w:type="dxa" w:w="50"/>
              <w:left w:type="dxa" w:w="90"/>
              <w:bottom w:type="dxa" w:w="50"/>
              <w:right w:type="dxa" w:w="90"/>
            </w:tcMar>
            <w:vAlign w:val="top"/>
          </w:tcPr>
          <w:p>
            <w:pPr>
              <w:spacing w:after="20"/>
            </w:pPr>
            <w:r>
              <w:rPr>
                <w:rFonts w:ascii="Calibri" w:cs="Calibri" w:eastAsia="Calibri" w:hAnsi="Calibri"/>
                <w:color w:val="9A4A0B"/>
                <w:sz w:val="18"/>
                <w:szCs w:val="18"/>
              </w:rPr>
              <w:t xml:space="preserve">Défaut ⚠</w:t>
            </w:r>
          </w:p>
        </w:tc>
      </w:tr>
      <w:tr>
        <w:trPr>
          <w:cantSplit/>
        </w:trPr>
        <w:tc>
          <w:tcPr>
            <w:tcW w:type="dxa" w:w="125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RG-M12-09</w:t>
            </w:r>
          </w:p>
        </w:tc>
        <w:tc>
          <w:tcPr>
            <w:tcW w:type="dxa" w:w="722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Base vie : cochée par participant ; hébergement à 0 pour ce participant.</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RG-M12-10</w:t>
            </w:r>
          </w:p>
        </w:tc>
        <w:tc>
          <w:tcPr>
            <w:tcW w:type="dxa" w:w="722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ODM extérieur : à la génération du bon, le montant en GNF est </w:t>
            </w:r>
            <w:r>
              <w:rPr>
                <w:rFonts w:ascii="Calibri" w:cs="Calibri" w:eastAsia="Calibri" w:hAnsi="Calibri"/>
                <w:b/>
                <w:bCs/>
                <w:sz w:val="18"/>
                <w:szCs w:val="18"/>
              </w:rPr>
              <w:t xml:space="preserve">estimé</w:t>
            </w:r>
            <w:r>
              <w:rPr>
                <w:rFonts w:ascii="Calibri" w:cs="Calibri" w:eastAsia="Calibri" w:hAnsi="Calibri"/>
                <w:sz w:val="18"/>
                <w:szCs w:val="18"/>
              </w:rPr>
              <w:t xml:space="preserve"> avec le dernier taux saisi (il sert au circuit). Au paiement, il est recalculé avec le taux saisi par la Trésorerie </w:t>
            </w:r>
            <w:r>
              <w:rPr>
                <w:rFonts w:ascii="Calibri" w:cs="Calibri" w:eastAsia="Calibri" w:hAnsi="Calibri"/>
                <w:b/>
                <w:bCs/>
                <w:sz w:val="18"/>
                <w:szCs w:val="18"/>
              </w:rPr>
              <w:t xml:space="preserve">le jour du paiement</w:t>
            </w:r>
            <w:r>
              <w:rPr>
                <w:rFonts w:ascii="Calibri" w:cs="Calibri" w:eastAsia="Calibri" w:hAnsi="Calibri"/>
                <w:sz w:val="18"/>
                <w:szCs w:val="18"/>
              </w:rPr>
              <w:t xml:space="preserve"> ; sans taux du jour, le paiement est bloqué.</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RG-M12-11</w:t>
            </w:r>
          </w:p>
        </w:tc>
        <w:tc>
          <w:tcPr>
            <w:tcW w:type="dxa" w:w="722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Circuit : demandeur → chef d'atelier / chef d'équipe (ou suppléant) → DAF → DP. </w:t>
            </w:r>
            <w:r>
              <w:rPr>
                <w:rFonts w:ascii="Calibri" w:cs="Calibri" w:eastAsia="Calibri" w:hAnsi="Calibri"/>
                <w:b/>
                <w:bCs/>
                <w:sz w:val="18"/>
                <w:szCs w:val="18"/>
              </w:rPr>
              <w:t xml:space="preserve">Pas de visa du CDG ni des RH.</w:t>
            </w:r>
            <w:r>
              <w:rPr>
                <w:rFonts w:ascii="Calibri" w:cs="Calibri" w:eastAsia="Calibri" w:hAnsi="Calibri"/>
                <w:sz w:val="18"/>
                <w:szCs w:val="18"/>
              </w:rPr>
              <w:t xml:space="preserve"> Une étape RH est prévue en paramètre, inactive.</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RG-M12-12</w:t>
            </w:r>
          </w:p>
        </w:tc>
        <w:tc>
          <w:tcPr>
            <w:tcW w:type="dxa" w:w="722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Rejet : motif obligatoire ; l'ODM revient au demandeur, garde son numéro, est modifiable et resoumis.</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RG-M12-13</w:t>
            </w:r>
          </w:p>
        </w:tc>
        <w:tc>
          <w:tcPr>
            <w:tcW w:type="dxa" w:w="722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Génération des bons : uniquement pour un ODM « Validé ». Les indemnités forfaitaires donnent des </w:t>
            </w:r>
            <w:r>
              <w:rPr>
                <w:rFonts w:ascii="Calibri" w:cs="Calibri" w:eastAsia="Calibri" w:hAnsi="Calibri"/>
                <w:b/>
                <w:bCs/>
                <w:sz w:val="18"/>
                <w:szCs w:val="18"/>
              </w:rPr>
              <w:t xml:space="preserve">BD</w:t>
            </w:r>
            <w:r>
              <w:rPr>
                <w:rFonts w:ascii="Calibri" w:cs="Calibri" w:eastAsia="Calibri" w:hAnsi="Calibri"/>
                <w:sz w:val="18"/>
                <w:szCs w:val="18"/>
              </w:rPr>
              <w:t xml:space="preserve">, justifiés par l'ODM. Si le paramètre « ODM générant un BP » = oui (défaut), le demandeur peut aussi générer un </w:t>
            </w:r>
            <w:r>
              <w:rPr>
                <w:rFonts w:ascii="Calibri" w:cs="Calibri" w:eastAsia="Calibri" w:hAnsi="Calibri"/>
                <w:b/>
                <w:bCs/>
                <w:sz w:val="18"/>
                <w:szCs w:val="18"/>
              </w:rPr>
              <w:t xml:space="preserve">BP</w:t>
            </w:r>
            <w:r>
              <w:rPr>
                <w:rFonts w:ascii="Calibri" w:cs="Calibri" w:eastAsia="Calibri" w:hAnsi="Calibri"/>
                <w:sz w:val="18"/>
                <w:szCs w:val="18"/>
              </w:rPr>
              <w:t xml:space="preserve"> (avance pour frais réels de mission), régularisé selon M07 (3 jours ouvrés après le retour). Chaque bon suit le circuit complet (M04). Mode souhaité par défaut : Orange Money ; décision finale du caissier.</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RG-M12-14</w:t>
            </w:r>
          </w:p>
        </w:tc>
        <w:tc>
          <w:tcPr>
            <w:tcW w:type="dxa" w:w="722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Mode de génération, paramètre : </w:t>
            </w:r>
            <w:r>
              <w:rPr>
                <w:rFonts w:ascii="Calibri" w:cs="Calibri" w:eastAsia="Calibri" w:hAnsi="Calibri"/>
                <w:b/>
                <w:bCs/>
                <w:sz w:val="18"/>
                <w:szCs w:val="18"/>
              </w:rPr>
              <w:t xml:space="preserve">un bon par participant</w:t>
            </w:r>
            <w:r>
              <w:rPr>
                <w:rFonts w:ascii="Calibri" w:cs="Calibri" w:eastAsia="Calibri" w:hAnsi="Calibri"/>
                <w:sz w:val="18"/>
                <w:szCs w:val="18"/>
              </w:rPr>
              <w:t xml:space="preserve"> (défaut) ou un bon unique versé au n° OM d'un participant désigné. En attente de l'arbitrage du DAF.</w:t>
            </w:r>
          </w:p>
        </w:tc>
        <w:tc>
          <w:tcPr>
            <w:tcW w:type="dxa" w:w="1156"/>
            <w:tcBorders>
              <w:top w:val="single" w:color="BFC7D5" w:sz="4"/>
              <w:left w:val="single" w:color="BFC7D5" w:sz="4"/>
              <w:bottom w:val="single" w:color="BFC7D5" w:sz="4"/>
              <w:right w:val="single" w:color="BFC7D5" w:sz="4"/>
            </w:tcBorders>
            <w:shd w:fill="F9DEDE" w:color="auto" w:val="clear"/>
            <w:tcMar>
              <w:top w:type="dxa" w:w="50"/>
              <w:left w:type="dxa" w:w="90"/>
              <w:bottom w:type="dxa" w:w="50"/>
              <w:right w:type="dxa" w:w="90"/>
            </w:tcMar>
            <w:vAlign w:val="top"/>
          </w:tcPr>
          <w:p>
            <w:pPr>
              <w:spacing w:after="20"/>
            </w:pPr>
            <w:r>
              <w:rPr>
                <w:rFonts w:ascii="Calibri" w:cs="Calibri" w:eastAsia="Calibri" w:hAnsi="Calibri"/>
                <w:color w:val="A61B1B"/>
                <w:sz w:val="18"/>
                <w:szCs w:val="18"/>
              </w:rPr>
              <w:t xml:space="preserve">Ouvert</w:t>
            </w:r>
          </w:p>
        </w:tc>
      </w:tr>
      <w:tr>
        <w:trPr>
          <w:cantSplit/>
        </w:trPr>
        <w:tc>
          <w:tcPr>
            <w:tcW w:type="dxa" w:w="125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RG-M12-15</w:t>
            </w:r>
          </w:p>
        </w:tc>
        <w:tc>
          <w:tcPr>
            <w:tcW w:type="dxa" w:w="722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Prise en charge « Client » : variante A (défaut) — bons générés normalement, ODM marqué « à refacturer » avec ses OR, listé dans le reporting ; variante B — aucun bon généré, ODM hors caisse. Paramètre.</w:t>
            </w:r>
          </w:p>
        </w:tc>
        <w:tc>
          <w:tcPr>
            <w:tcW w:type="dxa" w:w="1156"/>
            <w:tcBorders>
              <w:top w:val="single" w:color="BFC7D5" w:sz="4"/>
              <w:left w:val="single" w:color="BFC7D5" w:sz="4"/>
              <w:bottom w:val="single" w:color="BFC7D5" w:sz="4"/>
              <w:right w:val="single" w:color="BFC7D5" w:sz="4"/>
            </w:tcBorders>
            <w:shd w:fill="F9DEDE" w:color="auto" w:val="clear"/>
            <w:tcMar>
              <w:top w:type="dxa" w:w="50"/>
              <w:left w:type="dxa" w:w="90"/>
              <w:bottom w:type="dxa" w:w="50"/>
              <w:right w:type="dxa" w:w="90"/>
            </w:tcMar>
            <w:vAlign w:val="top"/>
          </w:tcPr>
          <w:p>
            <w:pPr>
              <w:spacing w:after="20"/>
            </w:pPr>
            <w:r>
              <w:rPr>
                <w:rFonts w:ascii="Calibri" w:cs="Calibri" w:eastAsia="Calibri" w:hAnsi="Calibri"/>
                <w:color w:val="A61B1B"/>
                <w:sz w:val="18"/>
                <w:szCs w:val="18"/>
              </w:rPr>
              <w:t xml:space="preserve">Ouvert</w:t>
            </w:r>
          </w:p>
        </w:tc>
      </w:tr>
      <w:tr>
        <w:trPr>
          <w:cantSplit/>
        </w:trPr>
        <w:tc>
          <w:tcPr>
            <w:tcW w:type="dxa" w:w="125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RG-M12-16</w:t>
            </w:r>
          </w:p>
        </w:tc>
        <w:tc>
          <w:tcPr>
            <w:tcW w:type="dxa" w:w="722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Chevauchement : un participant ne peut figurer sur deux ODM non annulés dont les périodes se chevauchent. Blocage à la soumission ; dérogation du DAF motivée et tracée. Couvre le risque de double paiement des C1.</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RG-M12-17</w:t>
            </w:r>
          </w:p>
        </w:tc>
        <w:tc>
          <w:tcPr>
            <w:tcW w:type="dxa" w:w="722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Prolongation : depuis un ODM « Validé », crée un segment lié ; départ = retour du segment précédent + 1 jour ; participants repris (retrait possible, ajout impossible) ; même circuit ; libellé « Prolongation n de N°xxx ».</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RG-M12-18</w:t>
            </w:r>
          </w:p>
        </w:tc>
        <w:tc>
          <w:tcPr>
            <w:tcW w:type="dxa" w:w="722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La prolongation inclut la nuit de rattrapage du segment précédent pour chaque participant non logé sur base vie.</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RG-M12-19</w:t>
            </w:r>
          </w:p>
        </w:tc>
        <w:tc>
          <w:tcPr>
            <w:tcW w:type="dxa" w:w="722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Vue mission : jours, nuits et montants cumulés sur tous les segments ; contrôle total nuits = total jours − 1 ; toute incohérence est signalée au DAF.</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RG-M12-20</w:t>
            </w:r>
          </w:p>
        </w:tc>
        <w:tc>
          <w:tcPr>
            <w:tcW w:type="dxa" w:w="722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Clôture : le demandeur saisit la date de retour réelle. Retour anticipé : trop-perçu calculé par participant, à reverser en caisse ou à retenir sur salaire (traité comme un BP en M07). Retour tardif : prolongation obligatoire.</w:t>
            </w:r>
          </w:p>
        </w:tc>
        <w:tc>
          <w:tcPr>
            <w:tcW w:type="dxa" w:w="1156"/>
            <w:tcBorders>
              <w:top w:val="single" w:color="BFC7D5" w:sz="4"/>
              <w:left w:val="single" w:color="BFC7D5" w:sz="4"/>
              <w:bottom w:val="single" w:color="BFC7D5" w:sz="4"/>
              <w:right w:val="single" w:color="BFC7D5" w:sz="4"/>
            </w:tcBorders>
            <w:shd w:fill="FDEBD9" w:color="auto" w:val="clear"/>
            <w:tcMar>
              <w:top w:type="dxa" w:w="50"/>
              <w:left w:type="dxa" w:w="90"/>
              <w:bottom w:type="dxa" w:w="50"/>
              <w:right w:type="dxa" w:w="90"/>
            </w:tcMar>
            <w:vAlign w:val="top"/>
          </w:tcPr>
          <w:p>
            <w:pPr>
              <w:spacing w:after="20"/>
            </w:pPr>
            <w:r>
              <w:rPr>
                <w:rFonts w:ascii="Calibri" w:cs="Calibri" w:eastAsia="Calibri" w:hAnsi="Calibri"/>
                <w:color w:val="9A4A0B"/>
                <w:sz w:val="18"/>
                <w:szCs w:val="18"/>
              </w:rPr>
              <w:t xml:space="preserve">Défaut ⚠</w:t>
            </w:r>
          </w:p>
        </w:tc>
      </w:tr>
      <w:tr>
        <w:trPr>
          <w:cantSplit/>
        </w:trPr>
        <w:tc>
          <w:tcPr>
            <w:tcW w:type="dxa" w:w="125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RG-M12-21</w:t>
            </w:r>
          </w:p>
        </w:tc>
        <w:tc>
          <w:tcPr>
            <w:tcW w:type="dxa" w:w="722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Statuts : Brouillon, Soumis, En validation, Rejeté, Validé, Bons générés, Payé, Clôturé, Annulé.</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RG-M12-22</w:t>
            </w:r>
          </w:p>
        </w:tc>
        <w:tc>
          <w:tcPr>
            <w:tcW w:type="dxa" w:w="722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Annulation : par le demandeur tant qu'aucun bon n'est généré ; ensuite par le DAF seulement, avec annulation des bons non payés. Un ODM dont un bon est payé ne s'annule pas : il se clôture avec régularisation.</w:t>
            </w:r>
          </w:p>
        </w:tc>
        <w:tc>
          <w:tcPr>
            <w:tcW w:type="dxa" w:w="1156"/>
            <w:tcBorders>
              <w:top w:val="single" w:color="BFC7D5" w:sz="4"/>
              <w:left w:val="single" w:color="BFC7D5" w:sz="4"/>
              <w:bottom w:val="single" w:color="BFC7D5" w:sz="4"/>
              <w:right w:val="single" w:color="BFC7D5" w:sz="4"/>
            </w:tcBorders>
            <w:shd w:fill="FDEBD9" w:color="auto" w:val="clear"/>
            <w:tcMar>
              <w:top w:type="dxa" w:w="50"/>
              <w:left w:type="dxa" w:w="90"/>
              <w:bottom w:type="dxa" w:w="50"/>
              <w:right w:type="dxa" w:w="90"/>
            </w:tcMar>
            <w:vAlign w:val="top"/>
          </w:tcPr>
          <w:p>
            <w:pPr>
              <w:spacing w:after="20"/>
            </w:pPr>
            <w:r>
              <w:rPr>
                <w:rFonts w:ascii="Calibri" w:cs="Calibri" w:eastAsia="Calibri" w:hAnsi="Calibri"/>
                <w:color w:val="9A4A0B"/>
                <w:sz w:val="18"/>
                <w:szCs w:val="18"/>
              </w:rPr>
              <w:t xml:space="preserve">Défaut ⚠</w:t>
            </w:r>
          </w:p>
        </w:tc>
      </w:tr>
      <w:tr>
        <w:trPr>
          <w:cantSplit/>
        </w:trPr>
        <w:tc>
          <w:tcPr>
            <w:tcW w:type="dxa" w:w="125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RG-M12-23</w:t>
            </w:r>
          </w:p>
        </w:tc>
        <w:tc>
          <w:tcPr>
            <w:tcW w:type="dxa" w:w="722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Impression : fiche d'indemnités et ordre de mission (autorisation de circuler) en PDF, avec les visas électroniques horodatés.</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RG-M12-24</w:t>
            </w:r>
          </w:p>
        </w:tc>
        <w:tc>
          <w:tcPr>
            <w:tcW w:type="dxa" w:w="722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Notifications : création, validation, prolongation et clôture sont notifiées à la liste de diffusion du service émetteur (paramétrable : chef d'atelier, logistique, assistante, etc.).</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RG-M12-25</w:t>
            </w:r>
          </w:p>
        </w:tc>
        <w:tc>
          <w:tcPr>
            <w:tcW w:type="dxa" w:w="722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Le calcul est figé à la validation finale de l'ODM : barème, grille et paramètres utilisés sont enregistrés avec l'ODM.</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RG-M12-26</w:t>
            </w:r>
          </w:p>
        </w:tc>
        <w:tc>
          <w:tcPr>
            <w:tcW w:type="dxa" w:w="722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Hébergement extérieur, 3 modes : pris en charge par la filiale d'accueil (0, indicateur « refacturation attendue ») ; facture payée en GNF avant le départ ; facture payée en GNF au retour (justificatif obligatoire).</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RG-M12-27</w:t>
            </w:r>
          </w:p>
        </w:tc>
        <w:tc>
          <w:tcPr>
            <w:tcW w:type="dxa" w:w="722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Champ facultatif « référence billet / bon de commande Wanda » (le billet d'avion reste hors circuit ODM).</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RG-M12-28</w:t>
            </w:r>
          </w:p>
        </w:tc>
        <w:tc>
          <w:tcPr>
            <w:tcW w:type="dxa" w:w="722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Missions longues : rappel automatique au demandeur avant l'échéance d'un segment (défaut : 2 jours ouvrés avant), pour prolonger ou clôturer.</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RG-M12-29</w:t>
            </w:r>
          </w:p>
        </w:tc>
        <w:tc>
          <w:tcPr>
            <w:tcW w:type="dxa" w:w="722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Aucun justificatif d'utilisation n'est exigé au retour pour les indemnités forfaitaires. Ne pas en ajouter.</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bl>
    <w:p>
      <w:pPr>
        <w:spacing w:after="100"/>
      </w:pPr>
    </w:p>
    <w:p>
      <w:pPr>
        <w:pStyle w:val="Heading3"/>
      </w:pPr>
      <w:r>
        <w:t xml:space="preserve">Messages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1060"/>
        <w:gridCol w:w="7229"/>
      </w:tblGrid>
      <w:tr>
        <w:trPr>
          <w:tblHeader/>
        </w:trPr>
        <w:tc>
          <w:tcPr>
            <w:tcW w:type="dxa" w:w="1349"/>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1060"/>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Type</w:t>
            </w:r>
          </w:p>
        </w:tc>
        <w:tc>
          <w:tcPr>
            <w:tcW w:type="dxa" w:w="7229"/>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Texte affiché</w:t>
            </w:r>
          </w:p>
        </w:tc>
      </w:tr>
      <w:tr>
        <w:trPr>
          <w:cantSplit/>
        </w:trPr>
        <w:tc>
          <w:tcPr>
            <w:tcW w:type="dxa" w:w="134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MSG-M12-01</w:t>
            </w:r>
          </w:p>
        </w:tc>
        <w:tc>
          <w:tcPr>
            <w:tcW w:type="dxa" w:w="1060"/>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Blocage</w:t>
            </w:r>
          </w:p>
        </w:tc>
        <w:tc>
          <w:tcPr>
            <w:tcW w:type="dxa" w:w="722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Mission technique : rattachez au moins un OR.</w:t>
            </w:r>
          </w:p>
        </w:tc>
      </w:tr>
      <w:tr>
        <w:trPr>
          <w:cantSplit/>
        </w:trPr>
        <w:tc>
          <w:tcPr>
            <w:tcW w:type="dxa" w:w="134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MSG-M12-02</w:t>
            </w:r>
          </w:p>
        </w:tc>
        <w:tc>
          <w:tcPr>
            <w:tcW w:type="dxa" w:w="1060"/>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Blocage</w:t>
            </w:r>
          </w:p>
        </w:tc>
        <w:tc>
          <w:tcPr>
            <w:tcW w:type="dxa" w:w="722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La date de retour doit être postérieure ou égale à la date de départ.</w:t>
            </w:r>
          </w:p>
        </w:tc>
      </w:tr>
      <w:tr>
        <w:trPr>
          <w:cantSplit/>
        </w:trPr>
        <w:tc>
          <w:tcPr>
            <w:tcW w:type="dxa" w:w="134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MSG-M12-03</w:t>
            </w:r>
          </w:p>
        </w:tc>
        <w:tc>
          <w:tcPr>
            <w:tcW w:type="dxa" w:w="1060"/>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Blocage</w:t>
            </w:r>
          </w:p>
        </w:tc>
        <w:tc>
          <w:tcPr>
            <w:tcW w:type="dxa" w:w="722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[Participant] est déjà en mission du [date] au [date] (ODM [n°]).</w:t>
            </w:r>
          </w:p>
        </w:tc>
      </w:tr>
      <w:tr>
        <w:trPr>
          <w:cantSplit/>
        </w:trPr>
        <w:tc>
          <w:tcPr>
            <w:tcW w:type="dxa" w:w="134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MSG-M12-04</w:t>
            </w:r>
          </w:p>
        </w:tc>
        <w:tc>
          <w:tcPr>
            <w:tcW w:type="dxa" w:w="1060"/>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Blocage</w:t>
            </w:r>
          </w:p>
        </w:tc>
        <w:tc>
          <w:tcPr>
            <w:tcW w:type="dxa" w:w="722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[Participant] n'a pas de statut cadre / non-cadre : contactez les RH.</w:t>
            </w:r>
          </w:p>
        </w:tc>
      </w:tr>
      <w:tr>
        <w:trPr>
          <w:cantSplit/>
        </w:trPr>
        <w:tc>
          <w:tcPr>
            <w:tcW w:type="dxa" w:w="134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MSG-M12-05</w:t>
            </w:r>
          </w:p>
        </w:tc>
        <w:tc>
          <w:tcPr>
            <w:tcW w:type="dxa" w:w="1060"/>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Blocage</w:t>
            </w:r>
          </w:p>
        </w:tc>
        <w:tc>
          <w:tcPr>
            <w:tcW w:type="dxa" w:w="722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Aucun taux de change FCFA → GNF saisi aujourd'hui : paiement impossible. Contactez la Trésorerie.</w:t>
            </w:r>
          </w:p>
        </w:tc>
      </w:tr>
      <w:tr>
        <w:trPr>
          <w:cantSplit/>
        </w:trPr>
        <w:tc>
          <w:tcPr>
            <w:tcW w:type="dxa" w:w="134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MSG-M12-06</w:t>
            </w:r>
          </w:p>
        </w:tc>
        <w:tc>
          <w:tcPr>
            <w:tcW w:type="dxa" w:w="1060"/>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Info</w:t>
            </w:r>
          </w:p>
        </w:tc>
        <w:tc>
          <w:tcPr>
            <w:tcW w:type="dxa" w:w="722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Prolongation : une nuitée de rattrapage du segment [n°] est ajoutée pour [n] participant(s).</w:t>
            </w:r>
          </w:p>
        </w:tc>
      </w:tr>
      <w:tr>
        <w:trPr>
          <w:cantSplit/>
        </w:trPr>
        <w:tc>
          <w:tcPr>
            <w:tcW w:type="dxa" w:w="134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MSG-M12-07</w:t>
            </w:r>
          </w:p>
        </w:tc>
        <w:tc>
          <w:tcPr>
            <w:tcW w:type="dxa" w:w="1060"/>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Alerte</w:t>
            </w:r>
          </w:p>
        </w:tc>
        <w:tc>
          <w:tcPr>
            <w:tcW w:type="dxa" w:w="722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Incohérence sur la mission [n°] : [x] nuits payées pour [y] jours.</w:t>
            </w:r>
          </w:p>
        </w:tc>
      </w:tr>
      <w:tr>
        <w:trPr>
          <w:cantSplit/>
        </w:trPr>
        <w:tc>
          <w:tcPr>
            <w:tcW w:type="dxa" w:w="134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MSG-M12-08</w:t>
            </w:r>
          </w:p>
        </w:tc>
        <w:tc>
          <w:tcPr>
            <w:tcW w:type="dxa" w:w="1060"/>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Succès</w:t>
            </w:r>
          </w:p>
        </w:tc>
        <w:tc>
          <w:tcPr>
            <w:tcW w:type="dxa" w:w="722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ODM [n°] validé. Vous pouvez générer le ou les bons de caisse.</w:t>
            </w:r>
          </w:p>
        </w:tc>
      </w:tr>
      <w:tr>
        <w:trPr>
          <w:cantSplit/>
        </w:trPr>
        <w:tc>
          <w:tcPr>
            <w:tcW w:type="dxa" w:w="134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MSG-M12-09</w:t>
            </w:r>
          </w:p>
        </w:tc>
        <w:tc>
          <w:tcPr>
            <w:tcW w:type="dxa" w:w="1060"/>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Info</w:t>
            </w:r>
          </w:p>
        </w:tc>
        <w:tc>
          <w:tcPr>
            <w:tcW w:type="dxa" w:w="722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Retour anticipé : trop-perçu de [montant] GNF pour [participant], à régulariser.</w:t>
            </w:r>
          </w:p>
        </w:tc>
      </w:tr>
    </w:tbl>
    <w:p>
      <w:pPr>
        <w:spacing w:after="100"/>
      </w:pPr>
    </w:p>
    <w:p>
      <w:pPr>
        <w:spacing w:after="100" w:before="0" w:line="276"/>
      </w:pPr>
      <w:r>
        <w:rPr>
          <w:rFonts w:ascii="Calibri" w:cs="Calibri" w:eastAsia="Calibri" w:hAnsi="Calibri"/>
          <w:b/>
          <w:bCs/>
          <w:sz w:val="21"/>
          <w:szCs w:val="21"/>
        </w:rPr>
        <w:t xml:space="preserve">Scénarios couverts</w:t>
      </w:r>
      <w:r>
        <w:rPr>
          <w:rFonts w:ascii="Calibri" w:cs="Calibri" w:eastAsia="Calibri" w:hAnsi="Calibri"/>
          <w:sz w:val="21"/>
          <w:szCs w:val="21"/>
        </w:rPr>
        <w:t xml:space="preserve"> : SC-20 à SC-29, SC-37.</w:t>
      </w:r>
    </w:p>
    <w:p>
      <w:pPr>
        <w:pStyle w:val="Heading2"/>
      </w:pPr>
      <w:r>
        <w:t xml:space="preserve">7.4 M13 — Carburant</w:t>
      </w:r>
    </w:p>
    <w:p>
      <w:pPr>
        <w:spacing w:after="100" w:before="0" w:line="276"/>
      </w:pPr>
      <w:r>
        <w:rPr>
          <w:rFonts w:ascii="Calibri" w:cs="Calibri" w:eastAsia="Calibri" w:hAnsi="Calibri"/>
          <w:b/>
          <w:bCs/>
          <w:sz w:val="21"/>
          <w:szCs w:val="21"/>
        </w:rPr>
        <w:t xml:space="preserve">Périmètre</w:t>
      </w:r>
      <w:r>
        <w:rPr>
          <w:rFonts w:ascii="Calibri" w:cs="Calibri" w:eastAsia="Calibri" w:hAnsi="Calibri"/>
          <w:sz w:val="21"/>
          <w:szCs w:val="21"/>
        </w:rPr>
        <w:t xml:space="preserve"> : avance carburant de mission, lecture des tickets par OCR assistée par IA, régularisation. Il n'existe pas de carte carburant.</w:t>
      </w:r>
    </w:p>
    <w:p>
      <w:pPr>
        <w:pStyle w:val="Heading3"/>
      </w:pPr>
      <w:r>
        <w:t xml:space="preserve">User stories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8481"/>
      </w:tblGrid>
      <w:tr>
        <w:trPr>
          <w:tblHeader/>
        </w:trPr>
        <w:tc>
          <w:tcPr>
            <w:tcW w:type="dxa" w:w="1157"/>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8481"/>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En tant que…, je veux…</w:t>
            </w:r>
          </w:p>
        </w:tc>
      </w:tr>
      <w:tr>
        <w:trPr>
          <w:cantSplit/>
        </w:trPr>
        <w:tc>
          <w:tcPr>
            <w:tcW w:type="dxa" w:w="1157"/>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US-01</w:t>
            </w:r>
          </w:p>
        </w:tc>
        <w:tc>
          <w:tcPr>
            <w:tcW w:type="dxa" w:w="8481"/>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Demandeur : demander une avance carburant pour le véhicule et le trajet d'une mission</w:t>
            </w:r>
          </w:p>
        </w:tc>
      </w:tr>
      <w:tr>
        <w:trPr>
          <w:cantSplit/>
        </w:trPr>
        <w:tc>
          <w:tcPr>
            <w:tcW w:type="dxa" w:w="1157"/>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US-02</w:t>
            </w:r>
          </w:p>
        </w:tc>
        <w:tc>
          <w:tcPr>
            <w:tcW w:type="dxa" w:w="8481"/>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Logistique : fixer et valider le montant de l'avance</w:t>
            </w:r>
          </w:p>
        </w:tc>
      </w:tr>
      <w:tr>
        <w:trPr>
          <w:cantSplit/>
        </w:trPr>
        <w:tc>
          <w:tcPr>
            <w:tcW w:type="dxa" w:w="1157"/>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US-03</w:t>
            </w:r>
          </w:p>
        </w:tc>
        <w:tc>
          <w:tcPr>
            <w:tcW w:type="dxa" w:w="8481"/>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Conducteur : photographier un ticket et voir les champs pré-remplis par l'IA</w:t>
            </w:r>
          </w:p>
        </w:tc>
      </w:tr>
      <w:tr>
        <w:trPr>
          <w:cantSplit/>
        </w:trPr>
        <w:tc>
          <w:tcPr>
            <w:tcW w:type="dxa" w:w="1157"/>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US-04</w:t>
            </w:r>
          </w:p>
        </w:tc>
        <w:tc>
          <w:tcPr>
            <w:tcW w:type="dxa" w:w="8481"/>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Conducteur : confirmer ou corriger chaque champ avant de valider le ticket</w:t>
            </w:r>
          </w:p>
        </w:tc>
      </w:tr>
      <w:tr>
        <w:trPr>
          <w:cantSplit/>
        </w:trPr>
        <w:tc>
          <w:tcPr>
            <w:tcW w:type="dxa" w:w="1157"/>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US-05</w:t>
            </w:r>
          </w:p>
        </w:tc>
        <w:tc>
          <w:tcPr>
            <w:tcW w:type="dxa" w:w="8481"/>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Conducteur : être alerté d'une incohérence (litres × prix, véhicule, date, doublon)</w:t>
            </w:r>
          </w:p>
        </w:tc>
      </w:tr>
      <w:tr>
        <w:trPr>
          <w:cantSplit/>
        </w:trPr>
        <w:tc>
          <w:tcPr>
            <w:tcW w:type="dxa" w:w="1157"/>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US-06</w:t>
            </w:r>
          </w:p>
        </w:tc>
        <w:tc>
          <w:tcPr>
            <w:tcW w:type="dxa" w:w="8481"/>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Trésorerie : émettre la fiche de régularisation (avance − tickets validés)</w:t>
            </w:r>
          </w:p>
        </w:tc>
      </w:tr>
      <w:tr>
        <w:trPr>
          <w:cantSplit/>
        </w:trPr>
        <w:tc>
          <w:tcPr>
            <w:tcW w:type="dxa" w:w="1157"/>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US-07</w:t>
            </w:r>
          </w:p>
        </w:tc>
        <w:tc>
          <w:tcPr>
            <w:tcW w:type="dxa" w:w="8481"/>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RH : être notifié d'une retenue sur salaire à opérer</w:t>
            </w:r>
          </w:p>
        </w:tc>
      </w:tr>
    </w:tbl>
    <w:p>
      <w:pPr>
        <w:spacing w:after="100"/>
      </w:pPr>
    </w:p>
    <w:p>
      <w:pPr>
        <w:pStyle w:val="Heading3"/>
      </w:pPr>
      <w:r>
        <w:t xml:space="preserve">Champs lus sur un ticket</w:t>
      </w:r>
    </w:p>
    <w:p>
      <w:pPr>
        <w:spacing w:after="100" w:before="0" w:line="276"/>
      </w:pPr>
      <w:r>
        <w:rPr>
          <w:rFonts w:ascii="Calibri" w:cs="Calibri" w:eastAsia="Calibri" w:hAnsi="Calibri"/>
          <w:sz w:val="21"/>
          <w:szCs w:val="21"/>
        </w:rPr>
        <w:t xml:space="preserve">Station, date, n° du ticket, immatriculation du véhicule, litres, prix au litre, montant en chiffres, montant en lettres. Les tickets reçus sont </w:t>
      </w:r>
      <w:r>
        <w:rPr>
          <w:rFonts w:ascii="Calibri" w:cs="Calibri" w:eastAsia="Calibri" w:hAnsi="Calibri"/>
          <w:b/>
          <w:bCs/>
          <w:sz w:val="21"/>
          <w:szCs w:val="21"/>
        </w:rPr>
        <w:t xml:space="preserve">manuscrits</w:t>
      </w:r>
      <w:r>
        <w:rPr>
          <w:rFonts w:ascii="Calibri" w:cs="Calibri" w:eastAsia="Calibri" w:hAnsi="Calibri"/>
          <w:sz w:val="21"/>
          <w:szCs w:val="21"/>
        </w:rPr>
        <w:t xml:space="preserve"> ; l'immatriculation est souvent écrite dans le champ « N° ». Le modèle OCR doit être choisi et testé sur l'échantillon reçu (5 tickets) avant développement de l'écran.</w:t>
      </w:r>
    </w:p>
    <w:p>
      <w:pPr>
        <w:pStyle w:val="Heading3"/>
      </w:pPr>
      <w:r>
        <w:t xml:space="preserve">Règles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7229"/>
        <w:gridCol w:w="1156"/>
      </w:tblGrid>
      <w:tr>
        <w:trPr>
          <w:tblHeader/>
        </w:trPr>
        <w:tc>
          <w:tcPr>
            <w:tcW w:type="dxa" w:w="1253"/>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7229"/>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Règle</w:t>
            </w:r>
          </w:p>
        </w:tc>
        <w:tc>
          <w:tcPr>
            <w:tcW w:type="dxa" w:w="1156"/>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Statut</w:t>
            </w:r>
          </w:p>
        </w:tc>
      </w:tr>
      <w:tr>
        <w:trPr>
          <w:cantSplit/>
        </w:trPr>
        <w:tc>
          <w:tcPr>
            <w:tcW w:type="dxa" w:w="125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RG-M13-01</w:t>
            </w:r>
          </w:p>
        </w:tc>
        <w:tc>
          <w:tcPr>
            <w:tcW w:type="dxa" w:w="722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L'avance carburant est un </w:t>
            </w:r>
            <w:r>
              <w:rPr>
                <w:rFonts w:ascii="Calibri" w:cs="Calibri" w:eastAsia="Calibri" w:hAnsi="Calibri"/>
                <w:b/>
                <w:bCs/>
                <w:sz w:val="18"/>
                <w:szCs w:val="18"/>
              </w:rPr>
              <w:t xml:space="preserve">BP</w:t>
            </w:r>
            <w:r>
              <w:rPr>
                <w:rFonts w:ascii="Calibri" w:cs="Calibri" w:eastAsia="Calibri" w:hAnsi="Calibri"/>
                <w:sz w:val="18"/>
                <w:szCs w:val="18"/>
              </w:rPr>
              <w:t xml:space="preserve"> au nom d'un salarié (le conducteur), liée à l'ODM s'il existe ; véhicule et trajet obligatoires.</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RG-M13-02</w:t>
            </w:r>
          </w:p>
        </w:tc>
        <w:tc>
          <w:tcPr>
            <w:tcW w:type="dxa" w:w="722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Montant de l'avance : saisi par la Logistique (litres estimés × prix de référence, ou forfait). Méthode à confirmer par Neemba.</w:t>
            </w:r>
          </w:p>
        </w:tc>
        <w:tc>
          <w:tcPr>
            <w:tcW w:type="dxa" w:w="1156"/>
            <w:tcBorders>
              <w:top w:val="single" w:color="BFC7D5" w:sz="4"/>
              <w:left w:val="single" w:color="BFC7D5" w:sz="4"/>
              <w:bottom w:val="single" w:color="BFC7D5" w:sz="4"/>
              <w:right w:val="single" w:color="BFC7D5" w:sz="4"/>
            </w:tcBorders>
            <w:shd w:fill="FDEBD9" w:color="auto" w:val="clear"/>
            <w:tcMar>
              <w:top w:type="dxa" w:w="50"/>
              <w:left w:type="dxa" w:w="90"/>
              <w:bottom w:type="dxa" w:w="50"/>
              <w:right w:type="dxa" w:w="90"/>
            </w:tcMar>
            <w:vAlign w:val="top"/>
          </w:tcPr>
          <w:p>
            <w:pPr>
              <w:spacing w:after="20"/>
            </w:pPr>
            <w:r>
              <w:rPr>
                <w:rFonts w:ascii="Calibri" w:cs="Calibri" w:eastAsia="Calibri" w:hAnsi="Calibri"/>
                <w:color w:val="9A4A0B"/>
                <w:sz w:val="18"/>
                <w:szCs w:val="18"/>
              </w:rPr>
              <w:t xml:space="preserve">Défaut ⚠</w:t>
            </w:r>
          </w:p>
        </w:tc>
      </w:tr>
      <w:tr>
        <w:trPr>
          <w:cantSplit/>
        </w:trPr>
        <w:tc>
          <w:tcPr>
            <w:tcW w:type="dxa" w:w="125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RG-M13-03</w:t>
            </w:r>
          </w:p>
        </w:tc>
        <w:tc>
          <w:tcPr>
            <w:tcW w:type="dxa" w:w="722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Un ticket = une image (JPG, PNG) ou une page de PDF ; 10 Mo maximum.</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RG-M13-04</w:t>
            </w:r>
          </w:p>
        </w:tc>
        <w:tc>
          <w:tcPr>
            <w:tcW w:type="dxa" w:w="722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L'IA pré-remplit chaque champ avec un niveau de confiance ; les champs à faible confiance sont surlignés.</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RG-M13-05</w:t>
            </w:r>
          </w:p>
        </w:tc>
        <w:tc>
          <w:tcPr>
            <w:tcW w:type="dxa" w:w="722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Chaque champ doit être confirmé ou corrigé par l'utilisateur</w:t>
            </w:r>
            <w:r>
              <w:rPr>
                <w:rFonts w:ascii="Calibri" w:cs="Calibri" w:eastAsia="Calibri" w:hAnsi="Calibri"/>
                <w:sz w:val="18"/>
                <w:szCs w:val="18"/>
              </w:rPr>
              <w:t xml:space="preserve"> ; le ticket ne peut être validé tant qu'un champ reste non confirmé. Valeur lue et valeur validée sont toutes deux conservées.</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RG-M13-06</w:t>
            </w:r>
          </w:p>
        </w:tc>
        <w:tc>
          <w:tcPr>
            <w:tcW w:type="dxa" w:w="722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Immatriculation : champ facultatif. Si elle est lue ou saisie et diffère de celle du véhicule de l'ODM : alerte, commentaire obligatoire.</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RG-M13-07</w:t>
            </w:r>
          </w:p>
        </w:tc>
        <w:tc>
          <w:tcPr>
            <w:tcW w:type="dxa" w:w="722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litres × prix ≠ montant (tolérance ± 2 %, paramétrable) : alerte.</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RG-M13-08</w:t>
            </w:r>
          </w:p>
        </w:tc>
        <w:tc>
          <w:tcPr>
            <w:tcW w:type="dxa" w:w="722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Montant en chiffres ≠ montant en lettres : alerte.</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RG-M13-09</w:t>
            </w:r>
          </w:p>
        </w:tc>
        <w:tc>
          <w:tcPr>
            <w:tcW w:type="dxa" w:w="722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Date hors de la période de mission (± 1 jour, paramétrable) : alerte.</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RG-M13-10</w:t>
            </w:r>
          </w:p>
        </w:tc>
        <w:tc>
          <w:tcPr>
            <w:tcW w:type="dxa" w:w="722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Prix au litre écarté de plus de 5 % du prix de référence (12 000 GNF/L par défaut) : alerte.</w:t>
            </w:r>
          </w:p>
        </w:tc>
        <w:tc>
          <w:tcPr>
            <w:tcW w:type="dxa" w:w="1156"/>
            <w:tcBorders>
              <w:top w:val="single" w:color="BFC7D5" w:sz="4"/>
              <w:left w:val="single" w:color="BFC7D5" w:sz="4"/>
              <w:bottom w:val="single" w:color="BFC7D5" w:sz="4"/>
              <w:right w:val="single" w:color="BFC7D5" w:sz="4"/>
            </w:tcBorders>
            <w:shd w:fill="FDEBD9" w:color="auto" w:val="clear"/>
            <w:tcMar>
              <w:top w:type="dxa" w:w="50"/>
              <w:left w:type="dxa" w:w="90"/>
              <w:bottom w:type="dxa" w:w="50"/>
              <w:right w:type="dxa" w:w="90"/>
            </w:tcMar>
            <w:vAlign w:val="top"/>
          </w:tcPr>
          <w:p>
            <w:pPr>
              <w:spacing w:after="20"/>
            </w:pPr>
            <w:r>
              <w:rPr>
                <w:rFonts w:ascii="Calibri" w:cs="Calibri" w:eastAsia="Calibri" w:hAnsi="Calibri"/>
                <w:color w:val="9A4A0B"/>
                <w:sz w:val="18"/>
                <w:szCs w:val="18"/>
              </w:rPr>
              <w:t xml:space="preserve">Défaut ⚠</w:t>
            </w:r>
          </w:p>
        </w:tc>
      </w:tr>
      <w:tr>
        <w:trPr>
          <w:cantSplit/>
        </w:trPr>
        <w:tc>
          <w:tcPr>
            <w:tcW w:type="dxa" w:w="125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RG-M13-11</w:t>
            </w:r>
          </w:p>
        </w:tc>
        <w:tc>
          <w:tcPr>
            <w:tcW w:type="dxa" w:w="722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Doublon (même station, même n°, même date, même montant) : blocage.</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RG-M13-12</w:t>
            </w:r>
          </w:p>
        </w:tc>
        <w:tc>
          <w:tcPr>
            <w:tcW w:type="dxa" w:w="722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Si l'OCR est indisponible, saisie manuelle de tous les champs avec l'image jointe.</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RG-M13-13</w:t>
            </w:r>
          </w:p>
        </w:tc>
        <w:tc>
          <w:tcPr>
            <w:tcW w:type="dxa" w:w="722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Régularisation : la Trésorerie émet la fiche (avance − total des tickets validés). Écart positif non justifié : reversement ou retenue sur salaire, notifiée aux RH. Écart négatif : complément par BD.</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RG-M13-14</w:t>
            </w:r>
          </w:p>
        </w:tc>
        <w:tc>
          <w:tcPr>
            <w:tcW w:type="dxa" w:w="722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Les images originales sont archivées avec le BP (M15).</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RG-M13-15</w:t>
            </w:r>
          </w:p>
        </w:tc>
        <w:tc>
          <w:tcPr>
            <w:tcW w:type="dxa" w:w="722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L'indice de confiance de chaque lecture et le taux de correction manuelle sont conservés et restitués dans un tableau de suivi (indicateurs du GO / NO GO).</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bl>
    <w:p>
      <w:pPr>
        <w:spacing w:after="100"/>
      </w:pPr>
    </w:p>
    <w:p>
      <w:pPr>
        <w:pStyle w:val="Heading3"/>
      </w:pPr>
      <w:r>
        <w:t xml:space="preserve">Messages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1060"/>
        <w:gridCol w:w="7229"/>
      </w:tblGrid>
      <w:tr>
        <w:trPr>
          <w:tblHeader/>
        </w:trPr>
        <w:tc>
          <w:tcPr>
            <w:tcW w:type="dxa" w:w="1349"/>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1060"/>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Type</w:t>
            </w:r>
          </w:p>
        </w:tc>
        <w:tc>
          <w:tcPr>
            <w:tcW w:type="dxa" w:w="7229"/>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Texte affiché</w:t>
            </w:r>
          </w:p>
        </w:tc>
      </w:tr>
      <w:tr>
        <w:trPr>
          <w:cantSplit/>
        </w:trPr>
        <w:tc>
          <w:tcPr>
            <w:tcW w:type="dxa" w:w="134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MSG-M13-01</w:t>
            </w:r>
          </w:p>
        </w:tc>
        <w:tc>
          <w:tcPr>
            <w:tcW w:type="dxa" w:w="1060"/>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Info</w:t>
            </w:r>
          </w:p>
        </w:tc>
        <w:tc>
          <w:tcPr>
            <w:tcW w:type="dxa" w:w="722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Vérifiez chaque champ : les champs surlignés ont été lus avec une faible confiance.</w:t>
            </w:r>
          </w:p>
        </w:tc>
      </w:tr>
      <w:tr>
        <w:trPr>
          <w:cantSplit/>
        </w:trPr>
        <w:tc>
          <w:tcPr>
            <w:tcW w:type="dxa" w:w="134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MSG-M13-02</w:t>
            </w:r>
          </w:p>
        </w:tc>
        <w:tc>
          <w:tcPr>
            <w:tcW w:type="dxa" w:w="1060"/>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Blocage</w:t>
            </w:r>
          </w:p>
        </w:tc>
        <w:tc>
          <w:tcPr>
            <w:tcW w:type="dxa" w:w="722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Confirmez ou corrigez tous les champs avant de valider le ticket.</w:t>
            </w:r>
          </w:p>
        </w:tc>
      </w:tr>
      <w:tr>
        <w:trPr>
          <w:cantSplit/>
        </w:trPr>
        <w:tc>
          <w:tcPr>
            <w:tcW w:type="dxa" w:w="134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MSG-M13-03</w:t>
            </w:r>
          </w:p>
        </w:tc>
        <w:tc>
          <w:tcPr>
            <w:tcW w:type="dxa" w:w="1060"/>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Alerte</w:t>
            </w:r>
          </w:p>
        </w:tc>
        <w:tc>
          <w:tcPr>
            <w:tcW w:type="dxa" w:w="722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Litres × prix ([x] GNF) ne correspond pas au montant ([y] GNF).</w:t>
            </w:r>
          </w:p>
        </w:tc>
      </w:tr>
      <w:tr>
        <w:trPr>
          <w:cantSplit/>
        </w:trPr>
        <w:tc>
          <w:tcPr>
            <w:tcW w:type="dxa" w:w="134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MSG-M13-04</w:t>
            </w:r>
          </w:p>
        </w:tc>
        <w:tc>
          <w:tcPr>
            <w:tcW w:type="dxa" w:w="1060"/>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Alerte</w:t>
            </w:r>
          </w:p>
        </w:tc>
        <w:tc>
          <w:tcPr>
            <w:tcW w:type="dxa" w:w="722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Le véhicule du ticket ([immat.]) diffère de celui de la mission ([immat.]).</w:t>
            </w:r>
          </w:p>
        </w:tc>
      </w:tr>
      <w:tr>
        <w:trPr>
          <w:cantSplit/>
        </w:trPr>
        <w:tc>
          <w:tcPr>
            <w:tcW w:type="dxa" w:w="134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MSG-M13-05</w:t>
            </w:r>
          </w:p>
        </w:tc>
        <w:tc>
          <w:tcPr>
            <w:tcW w:type="dxa" w:w="1060"/>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Blocage</w:t>
            </w:r>
          </w:p>
        </w:tc>
        <w:tc>
          <w:tcPr>
            <w:tcW w:type="dxa" w:w="722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Ce ticket a déjà été enregistré ([date], [station]).</w:t>
            </w:r>
          </w:p>
        </w:tc>
      </w:tr>
    </w:tbl>
    <w:p>
      <w:pPr>
        <w:spacing w:after="100"/>
      </w:pPr>
    </w:p>
    <w:p>
      <w:pPr>
        <w:spacing w:after="100" w:before="0" w:line="276"/>
      </w:pPr>
      <w:r>
        <w:rPr>
          <w:rFonts w:ascii="Calibri" w:cs="Calibri" w:eastAsia="Calibri" w:hAnsi="Calibri"/>
          <w:b/>
          <w:bCs/>
          <w:sz w:val="21"/>
          <w:szCs w:val="21"/>
        </w:rPr>
        <w:t xml:space="preserve">Scénarios couverts</w:t>
      </w:r>
      <w:r>
        <w:rPr>
          <w:rFonts w:ascii="Calibri" w:cs="Calibri" w:eastAsia="Calibri" w:hAnsi="Calibri"/>
          <w:sz w:val="21"/>
          <w:szCs w:val="21"/>
        </w:rPr>
        <w:t xml:space="preserve"> : SC-30 à SC-32.</w:t>
      </w:r>
    </w:p>
    <w:p>
      <w:pPr>
        <w:pStyle w:val="Heading1"/>
        <w:pageBreakBefore/>
      </w:pPr>
      <w:r>
        <w:t xml:space="preserve">8. Modules allégés — écarts et règles nouvelles</w:t>
      </w:r>
    </w:p>
    <w:p>
      <w:pPr>
        <w:spacing w:after="100" w:before="0" w:line="276"/>
      </w:pPr>
      <w:r>
        <w:rPr>
          <w:rFonts w:ascii="Calibri" w:cs="Calibri" w:eastAsia="Calibri" w:hAnsi="Calibri"/>
          <w:sz w:val="21"/>
          <w:szCs w:val="21"/>
        </w:rPr>
        <w:t xml:space="preserve">Pour ces modules, le socle existant est conservé. Seuls les écarts et les règles nouvelles sont décrits ; tout ce qui n'est pas mentionné reste en l'état.</w:t>
      </w:r>
    </w:p>
    <w:p>
      <w:pPr>
        <w:pStyle w:val="Heading2"/>
      </w:pPr>
      <w:r>
        <w:t xml:space="preserve">8.1 M01 — Comptes, rôles et sécurité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7229"/>
        <w:gridCol w:w="1156"/>
      </w:tblGrid>
      <w:tr>
        <w:trPr>
          <w:tblHeader/>
        </w:trPr>
        <w:tc>
          <w:tcPr>
            <w:tcW w:type="dxa" w:w="1253"/>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7229"/>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Règle</w:t>
            </w:r>
          </w:p>
        </w:tc>
        <w:tc>
          <w:tcPr>
            <w:tcW w:type="dxa" w:w="1156"/>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Statut</w:t>
            </w:r>
          </w:p>
        </w:tc>
      </w:tr>
      <w:tr>
        <w:trPr>
          <w:cantSplit/>
        </w:trPr>
        <w:tc>
          <w:tcPr>
            <w:tcW w:type="dxa" w:w="125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RG-M01-01</w:t>
            </w:r>
          </w:p>
        </w:tc>
        <w:tc>
          <w:tcPr>
            <w:tcW w:type="dxa" w:w="722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Comptes au domaine neemba.com uniquement.</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RG-M01-02</w:t>
            </w:r>
          </w:p>
        </w:tc>
        <w:tc>
          <w:tcPr>
            <w:tcW w:type="dxa" w:w="722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Champ « Entité » sur chaque compte (Neemba Guinée active ; Neemba Mining prévue, inactive).</w:t>
            </w:r>
          </w:p>
        </w:tc>
        <w:tc>
          <w:tcPr>
            <w:tcW w:type="dxa" w:w="1156"/>
            <w:tcBorders>
              <w:top w:val="single" w:color="BFC7D5" w:sz="4"/>
              <w:left w:val="single" w:color="BFC7D5" w:sz="4"/>
              <w:bottom w:val="single" w:color="BFC7D5" w:sz="4"/>
              <w:right w:val="single" w:color="BFC7D5" w:sz="4"/>
            </w:tcBorders>
            <w:shd w:fill="FDEBD9" w:color="auto" w:val="clear"/>
            <w:tcMar>
              <w:top w:type="dxa" w:w="50"/>
              <w:left w:type="dxa" w:w="90"/>
              <w:bottom w:type="dxa" w:w="50"/>
              <w:right w:type="dxa" w:w="90"/>
            </w:tcMar>
            <w:vAlign w:val="top"/>
          </w:tcPr>
          <w:p>
            <w:pPr>
              <w:spacing w:after="20"/>
            </w:pPr>
            <w:r>
              <w:rPr>
                <w:rFonts w:ascii="Calibri" w:cs="Calibri" w:eastAsia="Calibri" w:hAnsi="Calibri"/>
                <w:color w:val="9A4A0B"/>
                <w:sz w:val="18"/>
                <w:szCs w:val="18"/>
              </w:rPr>
              <w:t xml:space="preserve">Défaut ⚠</w:t>
            </w:r>
          </w:p>
        </w:tc>
      </w:tr>
      <w:tr>
        <w:trPr>
          <w:cantSplit/>
        </w:trPr>
        <w:tc>
          <w:tcPr>
            <w:tcW w:type="dxa" w:w="125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RG-M01-03</w:t>
            </w:r>
          </w:p>
        </w:tc>
        <w:tc>
          <w:tcPr>
            <w:tcW w:type="dxa" w:w="722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Nouveaux rôles : chef d'atelier / chef d'équipe, DP adjoint, DAF adjoint, assistant trésorier, Comptabilité, Trésorerie, Logistique, RH (voir chapitre 3).</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RG-M01-04</w:t>
            </w:r>
          </w:p>
        </w:tc>
        <w:tc>
          <w:tcPr>
            <w:tcW w:type="dxa" w:w="722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Incompatibilités : un utilisateur ne vise jamais un bon ou un ODM dont il est demandeur ou bénéficiaire ; un caissier ne paie pas un bon dont il est bénéficiaire.</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RG-M01-05</w:t>
            </w:r>
          </w:p>
        </w:tc>
        <w:tc>
          <w:tcPr>
            <w:tcW w:type="dxa" w:w="722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Toute modification de paramètre sensible ou de droits par l'administrateur est soumise à la validation d'un second validateur avant d'entrer en vigueur. Le ou les rôles du second validateur sont paramétrables (RG-M02-08).</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RG-M01-06</w:t>
            </w:r>
          </w:p>
        </w:tc>
        <w:tc>
          <w:tcPr>
            <w:tcW w:type="dxa" w:w="722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Interface adaptative : smartphone, tablette, poste fixe. Saisie hors ligne limitée aux brouillons et photos (§2.3), livrée en P3.</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bl>
    <w:p>
      <w:pPr>
        <w:spacing w:after="100"/>
      </w:pPr>
    </w:p>
    <w:p>
      <w:pPr>
        <w:pStyle w:val="Heading2"/>
      </w:pPr>
      <w:r>
        <w:t xml:space="preserve">8.2 M04 — Circuit de validation</w:t>
      </w:r>
    </w:p>
    <w:p>
      <w:pPr>
        <w:spacing w:after="100" w:before="0" w:line="276"/>
      </w:pPr>
      <w:r>
        <w:rPr>
          <w:rFonts w:ascii="Calibri" w:cs="Calibri" w:eastAsia="Calibri" w:hAnsi="Calibri"/>
          <w:sz w:val="21"/>
          <w:szCs w:val="21"/>
        </w:rPr>
        <w:t xml:space="preserve">Circuit du bon de caisse (Annexe 1) : </w:t>
      </w:r>
      <w:r>
        <w:rPr>
          <w:rFonts w:ascii="Calibri" w:cs="Calibri" w:eastAsia="Calibri" w:hAnsi="Calibri"/>
          <w:b/>
          <w:bCs/>
          <w:sz w:val="21"/>
          <w:szCs w:val="21"/>
        </w:rPr>
        <w:t xml:space="preserve">Demandeur → Chef de service → CDG → DAF / DAF adjoint / Chef comptable → Directeur Pays ou DP adjoint (si dépense &gt; 1 500 000 GNF) → Caissier.</w:t>
      </w:r>
      <w:r>
        <w:rPr>
          <w:rFonts w:ascii="Calibri" w:cs="Calibri" w:eastAsia="Calibri" w:hAnsi="Calibri"/>
          <w:sz w:val="21"/>
          <w:szCs w:val="21"/>
        </w:rPr>
        <w:t xml:space="preserve"> Le visa de la Finance est requis avant tout décaissement, quelle que soit la nature de la dépense et l'urgence invoquée (§5.2.1.2).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7229"/>
        <w:gridCol w:w="1156"/>
      </w:tblGrid>
      <w:tr>
        <w:trPr>
          <w:tblHeader/>
        </w:trPr>
        <w:tc>
          <w:tcPr>
            <w:tcW w:type="dxa" w:w="1253"/>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7229"/>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Règle</w:t>
            </w:r>
          </w:p>
        </w:tc>
        <w:tc>
          <w:tcPr>
            <w:tcW w:type="dxa" w:w="1156"/>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Statut</w:t>
            </w:r>
          </w:p>
        </w:tc>
      </w:tr>
      <w:tr>
        <w:trPr>
          <w:cantSplit/>
        </w:trPr>
        <w:tc>
          <w:tcPr>
            <w:tcW w:type="dxa" w:w="125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RG-M04-01</w:t>
            </w:r>
          </w:p>
        </w:tc>
        <w:tc>
          <w:tcPr>
            <w:tcW w:type="dxa" w:w="722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Le circuit est déterminé à la soumission et affiché au demandeur ; il est recalculé si le montant change après un rejet.</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RG-M04-02</w:t>
            </w:r>
          </w:p>
        </w:tc>
        <w:tc>
          <w:tcPr>
            <w:tcW w:type="dxa" w:w="722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Un bon généré depuis un ODM suit le circuit complet ci-dessus.</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RG-M04-03</w:t>
            </w:r>
          </w:p>
        </w:tc>
        <w:tc>
          <w:tcPr>
            <w:tcW w:type="dxa" w:w="722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Le CDG peut modifier le code analytique à son étape ; l'ancienne et la nouvelle valeur sont tracées.</w:t>
            </w:r>
          </w:p>
        </w:tc>
        <w:tc>
          <w:tcPr>
            <w:tcW w:type="dxa" w:w="1156"/>
            <w:tcBorders>
              <w:top w:val="single" w:color="BFC7D5" w:sz="4"/>
              <w:left w:val="single" w:color="BFC7D5" w:sz="4"/>
              <w:bottom w:val="single" w:color="BFC7D5" w:sz="4"/>
              <w:right w:val="single" w:color="BFC7D5" w:sz="4"/>
            </w:tcBorders>
            <w:shd w:fill="E4ECF9" w:color="auto" w:val="clear"/>
            <w:tcMar>
              <w:top w:type="dxa" w:w="50"/>
              <w:left w:type="dxa" w:w="90"/>
              <w:bottom w:type="dxa" w:w="50"/>
              <w:right w:type="dxa" w:w="90"/>
            </w:tcMar>
            <w:vAlign w:val="top"/>
          </w:tcPr>
          <w:p>
            <w:pPr>
              <w:spacing w:after="20"/>
            </w:pPr>
            <w:r>
              <w:rPr>
                <w:rFonts w:ascii="Calibri" w:cs="Calibri" w:eastAsia="Calibri" w:hAnsi="Calibri"/>
                <w:color w:val="1B3F8B"/>
                <w:sz w:val="18"/>
                <w:szCs w:val="18"/>
              </w:rPr>
              <w:t xml:space="preserve">Évolution</w:t>
            </w:r>
          </w:p>
        </w:tc>
      </w:tr>
      <w:tr>
        <w:trPr>
          <w:cantSplit/>
        </w:trPr>
        <w:tc>
          <w:tcPr>
            <w:tcW w:type="dxa" w:w="125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RG-M04-04</w:t>
            </w:r>
          </w:p>
        </w:tc>
        <w:tc>
          <w:tcPr>
            <w:tcW w:type="dxa" w:w="722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Rejet : motif obligatoire choisi dans une liste paramétrable, complété d'un commentaire libre. Liste initiale : absence de pièce justificative ; manque d'authentification (bon non signé par le bénéficiaire, le demandeur ou le responsable habilité) ; montant erroné ou illisible ; non-respect de la politique interne (plafond espèces) ; absence de mention obligatoire.</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RG-M04-05</w:t>
            </w:r>
          </w:p>
        </w:tc>
        <w:tc>
          <w:tcPr>
            <w:tcW w:type="dxa" w:w="722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Le bandeau « BP en retard du bénéficiaire » et l'alerte de doublon restent visibles à chaque étape.</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RG-M04-06</w:t>
            </w:r>
          </w:p>
        </w:tc>
        <w:tc>
          <w:tcPr>
            <w:tcW w:type="dxa" w:w="722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Le délai réel de chaque étape est enregistré, affiché dans le détail du bon et exporté.</w:t>
            </w:r>
          </w:p>
        </w:tc>
        <w:tc>
          <w:tcPr>
            <w:tcW w:type="dxa" w:w="1156"/>
            <w:tcBorders>
              <w:top w:val="single" w:color="BFC7D5" w:sz="4"/>
              <w:left w:val="single" w:color="BFC7D5" w:sz="4"/>
              <w:bottom w:val="single" w:color="BFC7D5" w:sz="4"/>
              <w:right w:val="single" w:color="BFC7D5" w:sz="4"/>
            </w:tcBorders>
            <w:shd w:fill="E4ECF9" w:color="auto" w:val="clear"/>
            <w:tcMar>
              <w:top w:type="dxa" w:w="50"/>
              <w:left w:type="dxa" w:w="90"/>
              <w:bottom w:type="dxa" w:w="50"/>
              <w:right w:type="dxa" w:w="90"/>
            </w:tcMar>
            <w:vAlign w:val="top"/>
          </w:tcPr>
          <w:p>
            <w:pPr>
              <w:spacing w:after="20"/>
            </w:pPr>
            <w:r>
              <w:rPr>
                <w:rFonts w:ascii="Calibri" w:cs="Calibri" w:eastAsia="Calibri" w:hAnsi="Calibri"/>
                <w:color w:val="1B3F8B"/>
                <w:sz w:val="18"/>
                <w:szCs w:val="18"/>
              </w:rPr>
              <w:t xml:space="preserve">Évolution</w:t>
            </w:r>
          </w:p>
        </w:tc>
      </w:tr>
      <w:tr>
        <w:trPr>
          <w:cantSplit/>
        </w:trPr>
        <w:tc>
          <w:tcPr>
            <w:tcW w:type="dxa" w:w="125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RG-M04-07</w:t>
            </w:r>
          </w:p>
        </w:tc>
        <w:tc>
          <w:tcPr>
            <w:tcW w:type="dxa" w:w="722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Annulation : par le demandeur tant qu'aucun visa n'est donné ; ensuite par le DAF seulement, avec motif. Un bon payé ne s'annule pas.</w:t>
            </w:r>
          </w:p>
        </w:tc>
        <w:tc>
          <w:tcPr>
            <w:tcW w:type="dxa" w:w="1156"/>
            <w:tcBorders>
              <w:top w:val="single" w:color="BFC7D5" w:sz="4"/>
              <w:left w:val="single" w:color="BFC7D5" w:sz="4"/>
              <w:bottom w:val="single" w:color="BFC7D5" w:sz="4"/>
              <w:right w:val="single" w:color="BFC7D5" w:sz="4"/>
            </w:tcBorders>
            <w:shd w:fill="FDEBD9" w:color="auto" w:val="clear"/>
            <w:tcMar>
              <w:top w:type="dxa" w:w="50"/>
              <w:left w:type="dxa" w:w="90"/>
              <w:bottom w:type="dxa" w:w="50"/>
              <w:right w:type="dxa" w:w="90"/>
            </w:tcMar>
            <w:vAlign w:val="top"/>
          </w:tcPr>
          <w:p>
            <w:pPr>
              <w:spacing w:after="20"/>
            </w:pPr>
            <w:r>
              <w:rPr>
                <w:rFonts w:ascii="Calibri" w:cs="Calibri" w:eastAsia="Calibri" w:hAnsi="Calibri"/>
                <w:color w:val="9A4A0B"/>
                <w:sz w:val="18"/>
                <w:szCs w:val="18"/>
              </w:rPr>
              <w:t xml:space="preserve">Défaut ⚠</w:t>
            </w:r>
          </w:p>
        </w:tc>
      </w:tr>
      <w:tr>
        <w:trPr>
          <w:cantSplit/>
        </w:trPr>
        <w:tc>
          <w:tcPr>
            <w:tcW w:type="dxa" w:w="125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RG-M04-08</w:t>
            </w:r>
          </w:p>
        </w:tc>
        <w:tc>
          <w:tcPr>
            <w:tcW w:type="dxa" w:w="722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Seuls les signataires officiellement désignés pour leur service peuvent viser (RG-M02-09). Toute autre signature est impossible.</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RG-M04-09</w:t>
            </w:r>
          </w:p>
        </w:tc>
        <w:tc>
          <w:tcPr>
            <w:tcW w:type="dxa" w:w="722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Si le valideur d'une étape est aussi demandeur ou bénéficiaire du bon (cas de Boké), le bon passe automatiquement à son suppléant, à défaut au niveau supérieur.</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bl>
    <w:p>
      <w:pPr>
        <w:spacing w:after="100"/>
      </w:pPr>
    </w:p>
    <w:p>
      <w:pPr>
        <w:pStyle w:val="Heading2"/>
      </w:pPr>
      <w:r>
        <w:t xml:space="preserve">8.3 M05 — Délégations et suppléances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7229"/>
        <w:gridCol w:w="1156"/>
      </w:tblGrid>
      <w:tr>
        <w:trPr>
          <w:tblHeader/>
        </w:trPr>
        <w:tc>
          <w:tcPr>
            <w:tcW w:type="dxa" w:w="1253"/>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7229"/>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Règle</w:t>
            </w:r>
          </w:p>
        </w:tc>
        <w:tc>
          <w:tcPr>
            <w:tcW w:type="dxa" w:w="1156"/>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Statut</w:t>
            </w:r>
          </w:p>
        </w:tc>
      </w:tr>
      <w:tr>
        <w:trPr>
          <w:cantSplit/>
        </w:trPr>
        <w:tc>
          <w:tcPr>
            <w:tcW w:type="dxa" w:w="125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RG-M05-01</w:t>
            </w:r>
          </w:p>
        </w:tc>
        <w:tc>
          <w:tcPr>
            <w:tcW w:type="dxa" w:w="722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Un suppléant est désigné par écrit auprès de la DAF : période, périmètre (types de visa, montants). Sans désignation dans la plateforme, le visa d'un suppléant est impossible.</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RG-M05-02</w:t>
            </w:r>
          </w:p>
        </w:tc>
        <w:tc>
          <w:tcPr>
            <w:tcW w:type="dxa" w:w="722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Acceptation obligatoire par le délégué (existant, conservé).</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Existant</w:t>
            </w:r>
          </w:p>
        </w:tc>
      </w:tr>
      <w:tr>
        <w:trPr>
          <w:cantSplit/>
        </w:trPr>
        <w:tc>
          <w:tcPr>
            <w:tcW w:type="dxa" w:w="125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RG-M05-03</w:t>
            </w:r>
          </w:p>
        </w:tc>
        <w:tc>
          <w:tcPr>
            <w:tcW w:type="dxa" w:w="722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Le caissier est informé automatiquement des délégations en cours.</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RG-M05-04</w:t>
            </w:r>
          </w:p>
        </w:tc>
        <w:tc>
          <w:tcPr>
            <w:tcW w:type="dxa" w:w="722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Absence du DP : le DP adjoint signe. Absence des deux : remplaçant désigné par le DP (délégation dans la plateforme) ; à défaut, visa conjoint du DAF et d'un autre membre du CODIR, conformément à la délégation de pouvoir (§5.2.1.2).</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bl>
    <w:p>
      <w:pPr>
        <w:spacing w:after="100"/>
      </w:pPr>
    </w:p>
    <w:p>
      <w:pPr>
        <w:pStyle w:val="Heading2"/>
      </w:pPr>
      <w:r>
        <w:t xml:space="preserve">8.4 M06 — Paiement et décaissement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7229"/>
        <w:gridCol w:w="1156"/>
      </w:tblGrid>
      <w:tr>
        <w:trPr>
          <w:tblHeader/>
        </w:trPr>
        <w:tc>
          <w:tcPr>
            <w:tcW w:type="dxa" w:w="1253"/>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7229"/>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Règle</w:t>
            </w:r>
          </w:p>
        </w:tc>
        <w:tc>
          <w:tcPr>
            <w:tcW w:type="dxa" w:w="1156"/>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Statut</w:t>
            </w:r>
          </w:p>
        </w:tc>
      </w:tr>
      <w:tr>
        <w:trPr>
          <w:cantSplit/>
        </w:trPr>
        <w:tc>
          <w:tcPr>
            <w:tcW w:type="dxa" w:w="125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RG-M06-01</w:t>
            </w:r>
          </w:p>
        </w:tc>
        <w:tc>
          <w:tcPr>
            <w:tcW w:type="dxa" w:w="722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Un caissier ne paie que les bons de sa caisse, au statut « Bon à payer ».</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RG-M06-02</w:t>
            </w:r>
          </w:p>
        </w:tc>
        <w:tc>
          <w:tcPr>
            <w:tcW w:type="dxa" w:w="722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Paiement débloqué par un OTP à 6 chiffres envoyé par SMS </w:t>
            </w:r>
            <w:r>
              <w:rPr>
                <w:rFonts w:ascii="Calibri" w:cs="Calibri" w:eastAsia="Calibri" w:hAnsi="Calibri"/>
                <w:b/>
                <w:bCs/>
                <w:sz w:val="18"/>
                <w:szCs w:val="18"/>
              </w:rPr>
              <w:t xml:space="preserve">au bénéficiaire</w:t>
            </w:r>
            <w:r>
              <w:rPr>
                <w:rFonts w:ascii="Calibri" w:cs="Calibri" w:eastAsia="Calibri" w:hAnsi="Calibri"/>
                <w:sz w:val="18"/>
                <w:szCs w:val="18"/>
              </w:rPr>
              <w:t xml:space="preserve"> et saisi par le caissier (validité 5 min, paramétrable). Sa saisie vaut accusé de réception (« Reçu par », Annexe 1).</w:t>
            </w:r>
          </w:p>
        </w:tc>
        <w:tc>
          <w:tcPr>
            <w:tcW w:type="dxa" w:w="1156"/>
            <w:tcBorders>
              <w:top w:val="single" w:color="BFC7D5" w:sz="4"/>
              <w:left w:val="single" w:color="BFC7D5" w:sz="4"/>
              <w:bottom w:val="single" w:color="BFC7D5" w:sz="4"/>
              <w:right w:val="single" w:color="BFC7D5" w:sz="4"/>
            </w:tcBorders>
            <w:shd w:fill="E4ECF9" w:color="auto" w:val="clear"/>
            <w:tcMar>
              <w:top w:type="dxa" w:w="50"/>
              <w:left w:type="dxa" w:w="90"/>
              <w:bottom w:type="dxa" w:w="50"/>
              <w:right w:type="dxa" w:w="90"/>
            </w:tcMar>
            <w:vAlign w:val="top"/>
          </w:tcPr>
          <w:p>
            <w:pPr>
              <w:spacing w:after="20"/>
            </w:pPr>
            <w:r>
              <w:rPr>
                <w:rFonts w:ascii="Calibri" w:cs="Calibri" w:eastAsia="Calibri" w:hAnsi="Calibri"/>
                <w:color w:val="1B3F8B"/>
                <w:sz w:val="18"/>
                <w:szCs w:val="18"/>
              </w:rPr>
              <w:t xml:space="preserve">Évolution</w:t>
            </w:r>
          </w:p>
        </w:tc>
      </w:tr>
      <w:tr>
        <w:trPr>
          <w:cantSplit/>
        </w:trPr>
        <w:tc>
          <w:tcPr>
            <w:tcW w:type="dxa" w:w="125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RG-M06-03</w:t>
            </w:r>
          </w:p>
        </w:tc>
        <w:tc>
          <w:tcPr>
            <w:tcW w:type="dxa" w:w="722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Au paiement, contrôle à nouveau : solde suffisant, plafond de retrait si espèces.</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RG-M06-04</w:t>
            </w:r>
          </w:p>
        </w:tc>
        <w:tc>
          <w:tcPr>
            <w:tcW w:type="dxa" w:w="722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Saisie selon le mode : référence de transaction OM, n° de chèque, référence de virement.</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RG-M06-05</w:t>
            </w:r>
          </w:p>
        </w:tc>
        <w:tc>
          <w:tcPr>
            <w:tcW w:type="dxa" w:w="722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Reçu PDF signé électroniquement par le caissier. Bénéficiaire sans téléphone (ou tiers) : signature sur tablette à la place de l'OTP.</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RG-M06-06</w:t>
            </w:r>
          </w:p>
        </w:tc>
        <w:tc>
          <w:tcPr>
            <w:tcW w:type="dxa" w:w="722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Le paiement met à jour le solde de la caisse (M08) et alimente le rapport journalier (M09).</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RG-M06-07</w:t>
            </w:r>
          </w:p>
        </w:tc>
        <w:tc>
          <w:tcPr>
            <w:tcW w:type="dxa" w:w="722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Le caissier ou l'assistant trésorier décide du mode de paiement</w:t>
            </w:r>
            <w:r>
              <w:rPr>
                <w:rFonts w:ascii="Calibri" w:cs="Calibri" w:eastAsia="Calibri" w:hAnsi="Calibri"/>
                <w:sz w:val="18"/>
                <w:szCs w:val="18"/>
              </w:rPr>
              <w:t xml:space="preserve"> (§5.1.1.2) : il confirme ou modifie le mode souhaité, dans la limite des modes autorisés (espèces ≤ plafond de retrait). Si Orange Money est retenu, les frais sont calculés à ce moment et ajoutés au montant versé. Le changement de mode ne relance pas le circuit, le seuil DP portant sur la dépense hors frais.</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RG-M06-08</w:t>
            </w:r>
          </w:p>
        </w:tc>
        <w:tc>
          <w:tcPr>
            <w:tcW w:type="dxa" w:w="722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Écriture du décaissement avec le code journal du mode retenu : caisse espèces, OM ou MTN MONEY (§5.2).</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bl>
    <w:p>
      <w:pPr>
        <w:spacing w:after="100"/>
      </w:pPr>
    </w:p>
    <w:p>
      <w:pPr>
        <w:pStyle w:val="Heading2"/>
      </w:pPr>
      <w:r>
        <w:t xml:space="preserve">8.5 M07 — Bons provisoires et régularisation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7229"/>
        <w:gridCol w:w="1156"/>
      </w:tblGrid>
      <w:tr>
        <w:trPr>
          <w:tblHeader/>
        </w:trPr>
        <w:tc>
          <w:tcPr>
            <w:tcW w:type="dxa" w:w="1253"/>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7229"/>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Règle</w:t>
            </w:r>
          </w:p>
        </w:tc>
        <w:tc>
          <w:tcPr>
            <w:tcW w:type="dxa" w:w="1156"/>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Statut</w:t>
            </w:r>
          </w:p>
        </w:tc>
      </w:tr>
      <w:tr>
        <w:trPr>
          <w:cantSplit/>
        </w:trPr>
        <w:tc>
          <w:tcPr>
            <w:tcW w:type="dxa" w:w="125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RG-M07-01</w:t>
            </w:r>
          </w:p>
        </w:tc>
        <w:tc>
          <w:tcPr>
            <w:tcW w:type="dxa" w:w="722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BP réservé aux salariés et aux visiteurs du groupe ; comptabilisé au 421100 auxiliarisé, avec le code journal du décaissement (§5.2.2.1). Pour un visiteur, la régularisation relève du directeur du département d'accueil (§5.2.2.2).</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RG-M07-02</w:t>
            </w:r>
          </w:p>
        </w:tc>
        <w:tc>
          <w:tcPr>
            <w:tcW w:type="dxa" w:w="722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Échéance : 3 jours ouvrés après le retour de mission, 2 jours ouvrés après le décaissement sinon.</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RG-M07-03</w:t>
            </w:r>
          </w:p>
        </w:tc>
        <w:tc>
          <w:tcPr>
            <w:tcW w:type="dxa" w:w="722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Écran de justification conforme à l'Annexe 3 : en-tête (date, nom, prénom, matricule, département, montant de l'avance, motif) ; jusqu'à 10 lignes (intitulé, code analytique, n° de compte, montant, pièce jointe) ; calculs automatiques — montant justifié, montant à retourner en caisse, montant restant à justifier, trop justifié à percevoir. Visas : initiateur → N+1 de l'initiateur → Contrôle de gestion → Comptabilité.</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RG-M07-08</w:t>
            </w:r>
          </w:p>
        </w:tc>
        <w:tc>
          <w:tcPr>
            <w:tcW w:type="dxa" w:w="722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La régularisation produit un </w:t>
            </w:r>
            <w:r>
              <w:rPr>
                <w:rFonts w:ascii="Calibri" w:cs="Calibri" w:eastAsia="Calibri" w:hAnsi="Calibri"/>
                <w:b/>
                <w:bCs/>
                <w:sz w:val="18"/>
                <w:szCs w:val="18"/>
              </w:rPr>
              <w:t xml:space="preserve">BD du montant réel</w:t>
            </w:r>
            <w:r>
              <w:rPr>
                <w:rFonts w:ascii="Calibri" w:cs="Calibri" w:eastAsia="Calibri" w:hAnsi="Calibri"/>
                <w:sz w:val="18"/>
                <w:szCs w:val="18"/>
              </w:rPr>
              <w:t xml:space="preserve"> lié au BP, avec les pièces originales (§5.2). Reliquat : rétrocession en caisse (encaissement). Trop justifié : complément versé par le BD.</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RG-M07-04</w:t>
            </w:r>
          </w:p>
        </w:tc>
        <w:tc>
          <w:tcPr>
            <w:tcW w:type="dxa" w:w="722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Relance automatique chaque vendredi, au nom du caissier : personne concernée, en copie le directeur de son département, le Chef comptable, la trésorière et le DAF (§5.2.2.2).</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RG-M07-05</w:t>
            </w:r>
          </w:p>
        </w:tc>
        <w:tc>
          <w:tcPr>
            <w:tcW w:type="dxa" w:w="722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Échéance dépassée : le BP passe « En retard » et est transmis aux RH ; la retenue à la source n'intervient qu'après l'email d'information de la DRH à l'intéressé, tracé dans la plateforme.</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RG-M07-06</w:t>
            </w:r>
          </w:p>
        </w:tc>
        <w:tc>
          <w:tcPr>
            <w:tcW w:type="dxa" w:w="722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Paramètre « blocage BP en retard » : </w:t>
            </w:r>
            <w:r>
              <w:rPr>
                <w:rFonts w:ascii="Calibri" w:cs="Calibri" w:eastAsia="Calibri" w:hAnsi="Calibri"/>
                <w:b/>
                <w:bCs/>
                <w:sz w:val="18"/>
                <w:szCs w:val="18"/>
              </w:rPr>
              <w:t xml:space="preserve">aucun</w:t>
            </w:r>
            <w:r>
              <w:rPr>
                <w:rFonts w:ascii="Calibri" w:cs="Calibri" w:eastAsia="Calibri" w:hAnsi="Calibri"/>
                <w:sz w:val="18"/>
                <w:szCs w:val="18"/>
              </w:rPr>
              <w:t xml:space="preserve"> (alerte seule), </w:t>
            </w:r>
            <w:r>
              <w:rPr>
                <w:rFonts w:ascii="Calibri" w:cs="Calibri" w:eastAsia="Calibri" w:hAnsi="Calibri"/>
                <w:b/>
                <w:bCs/>
                <w:sz w:val="18"/>
                <w:szCs w:val="18"/>
              </w:rPr>
              <w:t xml:space="preserve">partiel</w:t>
            </w:r>
            <w:r>
              <w:rPr>
                <w:rFonts w:ascii="Calibri" w:cs="Calibri" w:eastAsia="Calibri" w:hAnsi="Calibri"/>
                <w:sz w:val="18"/>
                <w:szCs w:val="18"/>
              </w:rPr>
              <w:t xml:space="preserve"> (défaut : nouveau BP bloqué, BD autorisé avec bandeau) ou </w:t>
            </w:r>
            <w:r>
              <w:rPr>
                <w:rFonts w:ascii="Calibri" w:cs="Calibri" w:eastAsia="Calibri" w:hAnsi="Calibri"/>
                <w:b/>
                <w:bCs/>
                <w:sz w:val="18"/>
                <w:szCs w:val="18"/>
              </w:rPr>
              <w:t xml:space="preserve">total</w:t>
            </w:r>
            <w:r>
              <w:rPr>
                <w:rFonts w:ascii="Calibri" w:cs="Calibri" w:eastAsia="Calibri" w:hAnsi="Calibri"/>
                <w:sz w:val="18"/>
                <w:szCs w:val="18"/>
              </w:rPr>
              <w:t xml:space="preserve"> (aucun nouveau bon). Le DAF peut accorder une dérogation motivée et tracée, pour un bon donné.</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RG-M07-07</w:t>
            </w:r>
          </w:p>
        </w:tc>
        <w:tc>
          <w:tcPr>
            <w:tcW w:type="dxa" w:w="722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Rapport mensuel des BP non régularisés au Directeur Pays.</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bl>
    <w:p>
      <w:pPr>
        <w:spacing w:after="100"/>
      </w:pPr>
    </w:p>
    <w:p>
      <w:pPr>
        <w:pStyle w:val="Heading2"/>
      </w:pPr>
      <w:r>
        <w:t xml:space="preserve">8.6 M09 — Clôture journalière et rapport journalier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7229"/>
        <w:gridCol w:w="1156"/>
      </w:tblGrid>
      <w:tr>
        <w:trPr>
          <w:tblHeader/>
        </w:trPr>
        <w:tc>
          <w:tcPr>
            <w:tcW w:type="dxa" w:w="1253"/>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7229"/>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Règle</w:t>
            </w:r>
          </w:p>
        </w:tc>
        <w:tc>
          <w:tcPr>
            <w:tcW w:type="dxa" w:w="1156"/>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Statut</w:t>
            </w:r>
          </w:p>
        </w:tc>
      </w:tr>
      <w:tr>
        <w:trPr>
          <w:cantSplit/>
        </w:trPr>
        <w:tc>
          <w:tcPr>
            <w:tcW w:type="dxa" w:w="125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RG-M09-01</w:t>
            </w:r>
          </w:p>
        </w:tc>
        <w:tc>
          <w:tcPr>
            <w:tcW w:type="dxa" w:w="722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Format Neemba (onglet principal, inchangé) : en-tête « REPORTING CAISSE », Société NEEMBA GUINEE, adresse Matam Route du Niger, période, caisse ; contrôle (solde final de la veille) ; synthèse (solde initial, + encaissements, − décaissements, solde final) ; encaissements (date, n° pièce, libellé, montant) ; décaissements (date, libellé, n° pièce, montant). Libellé = motif du bon ; n° de pièce = n° du bon. Une feuille par jour et par caisse.</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RG-M09-02</w:t>
            </w:r>
          </w:p>
        </w:tc>
        <w:tc>
          <w:tcPr>
            <w:tcW w:type="dxa" w:w="722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Contrôle : solde initial du jour = solde final de la veille ; ligne « Écart » affichée, en rouge si non nulle.</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RG-M09-03</w:t>
            </w:r>
          </w:p>
        </w:tc>
        <w:tc>
          <w:tcPr>
            <w:tcW w:type="dxa" w:w="722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Clôture par le caissier ; aucune opération possible sur une journée clôturée.</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RG-M09-04</w:t>
            </w:r>
          </w:p>
        </w:tc>
        <w:tc>
          <w:tcPr>
            <w:tcW w:type="dxa" w:w="722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Génération à la clôture (23 h 45 par défaut), envoi PDF + Excel avant 8 h 00. Destinataires Conakry : Mamadou Alpha BAH (Chef comptable), Youssouf TOURE (assistant trésorier), Mariamagbè CAMARA (responsable trésorerie), Mohamed DIAKITE (DAF), Mor CISS (DAF adjoint). Autres caisses : gestionnaire + Trésorerie par défaut.</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RG-M09-05</w:t>
            </w:r>
          </w:p>
        </w:tc>
        <w:tc>
          <w:tcPr>
            <w:tcW w:type="dxa" w:w="722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Onglet « Détail » ajouté : bénéficiaire, service, mode de paiement, valideurs et délai par étape.</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bl>
    <w:p>
      <w:pPr>
        <w:spacing w:after="100"/>
      </w:pPr>
    </w:p>
    <w:p>
      <w:pPr>
        <w:pStyle w:val="Heading2"/>
      </w:pPr>
      <w:r>
        <w:t xml:space="preserve">8.7 M10 — Inventaire et contrôle de caisse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7229"/>
        <w:gridCol w:w="1156"/>
      </w:tblGrid>
      <w:tr>
        <w:trPr>
          <w:tblHeader/>
        </w:trPr>
        <w:tc>
          <w:tcPr>
            <w:tcW w:type="dxa" w:w="1253"/>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7229"/>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Règle</w:t>
            </w:r>
          </w:p>
        </w:tc>
        <w:tc>
          <w:tcPr>
            <w:tcW w:type="dxa" w:w="1156"/>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Statut</w:t>
            </w:r>
          </w:p>
        </w:tc>
      </w:tr>
      <w:tr>
        <w:trPr>
          <w:cantSplit/>
        </w:trPr>
        <w:tc>
          <w:tcPr>
            <w:tcW w:type="dxa" w:w="125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RG-M10-01</w:t>
            </w:r>
          </w:p>
        </w:tc>
        <w:tc>
          <w:tcPr>
            <w:tcW w:type="dxa" w:w="722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Inventaire obligatoire à la fin de chaque mois et avant chaque demande de réapprovisionnement. Contrôle inopiné trimestriel pour Conakry, Boké et Sangarédi ; fréquent pour les autres caisses (fréquence paramétrable, défaut mensuelle). Le Chef comptable est garant (§5.4).</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RG-M10-02</w:t>
            </w:r>
          </w:p>
        </w:tc>
        <w:tc>
          <w:tcPr>
            <w:tcW w:type="dxa" w:w="722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PV d'arrêté conforme à l'Annexe 2 : date, heure, implantation, caisse ; billetage par coupure (20 000 à 50) ; solde physique, solde comptable, écart. Signatures : gérant de caisse, trésorière, Chef comptable.</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RG-M10-03</w:t>
            </w:r>
          </w:p>
        </w:tc>
        <w:tc>
          <w:tcPr>
            <w:tcW w:type="dxa" w:w="722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Un écart non nul crée un ajustement « En attente » ; il n'est passé qu'après validation du DAF avec motif.</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bl>
    <w:p>
      <w:pPr>
        <w:spacing w:after="100"/>
      </w:pPr>
    </w:p>
    <w:p>
      <w:pPr>
        <w:pStyle w:val="Heading2"/>
      </w:pPr>
      <w:r>
        <w:t xml:space="preserve">8.8 M11 — Notifications, relances et escalades</w:t>
      </w:r>
    </w:p>
    <w:p>
      <w:pPr>
        <w:spacing w:after="100" w:before="0" w:line="276"/>
      </w:pPr>
      <w:r>
        <w:rPr>
          <w:rFonts w:ascii="Calibri" w:cs="Calibri" w:eastAsia="Calibri" w:hAnsi="Calibri"/>
          <w:sz w:val="21"/>
          <w:szCs w:val="21"/>
        </w:rPr>
        <w:t xml:space="preserve">Matrice existante conservée (soumission, rappel, escalade, rejet, approbation, paiement, relance BP, dépassement BP). Canaux : email, SMS, notification dans l'application. Événements ajoutés :</w:t>
      </w:r>
    </w:p>
    <w:p>
      <w:pPr>
        <w:pStyle w:val="ListParagraph"/>
        <w:numPr>
          <w:ilvl w:val="0"/>
          <w:numId w:val="2"/>
        </w:numPr>
        <w:spacing w:after="60"/>
      </w:pPr>
      <w:r>
        <w:rPr>
          <w:rFonts w:ascii="Calibri" w:cs="Calibri" w:eastAsia="Calibri" w:hAnsi="Calibri"/>
          <w:sz w:val="21"/>
          <w:szCs w:val="21"/>
        </w:rPr>
        <w:t xml:space="preserve">Tiers proposé à valider (comptabilité, CDG) ; tiers validé ou refusé (demandeur).</w:t>
      </w:r>
    </w:p>
    <w:p>
      <w:pPr>
        <w:pStyle w:val="ListParagraph"/>
        <w:numPr>
          <w:ilvl w:val="0"/>
          <w:numId w:val="2"/>
        </w:numPr>
        <w:spacing w:after="60"/>
      </w:pPr>
      <w:r>
        <w:rPr>
          <w:rFonts w:ascii="Calibri" w:cs="Calibri" w:eastAsia="Calibri" w:hAnsi="Calibri"/>
          <w:sz w:val="21"/>
          <w:szCs w:val="21"/>
        </w:rPr>
        <w:t xml:space="preserve">Seuil de réapprovisionnement franchi ; demande de réapprovisionnement ; écart de réception.</w:t>
      </w:r>
    </w:p>
    <w:p>
      <w:pPr>
        <w:pStyle w:val="ListParagraph"/>
        <w:numPr>
          <w:ilvl w:val="0"/>
          <w:numId w:val="2"/>
        </w:numPr>
        <w:spacing w:after="60"/>
      </w:pPr>
      <w:r>
        <w:rPr>
          <w:rFonts w:ascii="Calibri" w:cs="Calibri" w:eastAsia="Calibri" w:hAnsi="Calibri"/>
          <w:sz w:val="21"/>
          <w:szCs w:val="21"/>
        </w:rPr>
        <w:t xml:space="preserve">ODM soumis, validé, rejeté, prolongé, clôturé (liste de diffusion du service) ; incohérence de nuitées.</w:t>
      </w:r>
    </w:p>
    <w:p>
      <w:pPr>
        <w:pStyle w:val="ListParagraph"/>
        <w:numPr>
          <w:ilvl w:val="0"/>
          <w:numId w:val="2"/>
        </w:numPr>
        <w:spacing w:after="60"/>
      </w:pPr>
      <w:r>
        <w:rPr>
          <w:rFonts w:ascii="Calibri" w:cs="Calibri" w:eastAsia="Calibri" w:hAnsi="Calibri"/>
          <w:sz w:val="21"/>
          <w:szCs w:val="21"/>
        </w:rPr>
        <w:t xml:space="preserve">Avance carburant demandée ; fiche de régularisation émise ; retenue sur salaire (RH).</w:t>
      </w:r>
    </w:p>
    <w:p>
      <w:pPr>
        <w:spacing w:after="120"/>
      </w:pPr>
      <w:r>
        <w:rPr>
          <w:rFonts w:ascii="Calibri" w:cs="Calibri" w:eastAsia="Calibri" w:hAnsi="Calibri"/>
          <w:i/>
          <w:iCs/>
          <w:color w:val="555555"/>
          <w:sz w:val="19"/>
          <w:szCs w:val="19"/>
        </w:rPr>
        <w:t xml:space="preserve">Serveur SMTP, fournisseur SMS et hébergement : à fixer lors de la session technique IT / HUB.</w:t>
      </w:r>
    </w:p>
    <w:p>
      <w:pPr>
        <w:pStyle w:val="Heading2"/>
      </w:pPr>
      <w:r>
        <w:t xml:space="preserve">8.9 M14 — Tableaux de bord et reporting</w:t>
      </w:r>
    </w:p>
    <w:p>
      <w:pPr>
        <w:pStyle w:val="ListParagraph"/>
        <w:numPr>
          <w:ilvl w:val="0"/>
          <w:numId w:val="2"/>
        </w:numPr>
        <w:spacing w:after="60"/>
      </w:pPr>
      <w:r>
        <w:rPr>
          <w:rFonts w:ascii="Calibri" w:cs="Calibri" w:eastAsia="Calibri" w:hAnsi="Calibri"/>
          <w:b/>
          <w:bCs/>
          <w:sz w:val="21"/>
          <w:szCs w:val="21"/>
        </w:rPr>
        <w:t xml:space="preserve">Tableau de bord DAF</w:t>
      </w:r>
      <w:r>
        <w:rPr>
          <w:rFonts w:ascii="Calibri" w:cs="Calibri" w:eastAsia="Calibri" w:hAnsi="Calibri"/>
          <w:sz w:val="21"/>
          <w:szCs w:val="21"/>
        </w:rPr>
        <w:t xml:space="preserve"> : soldes de toutes les caisses et alertes de seuil ; bons en attente par étape avec délai ; BP en cours et en retard ; missions en cours (durée cumulée, coût) ; alertes de doublon et de chevauchement ; ODM « à refacturer ».</w:t>
      </w:r>
    </w:p>
    <w:p>
      <w:pPr>
        <w:pStyle w:val="ListParagraph"/>
        <w:numPr>
          <w:ilvl w:val="0"/>
          <w:numId w:val="2"/>
        </w:numPr>
        <w:spacing w:after="60"/>
      </w:pPr>
      <w:r>
        <w:rPr>
          <w:rFonts w:ascii="Calibri" w:cs="Calibri" w:eastAsia="Calibri" w:hAnsi="Calibri"/>
          <w:b/>
          <w:bCs/>
          <w:sz w:val="21"/>
          <w:szCs w:val="21"/>
        </w:rPr>
        <w:t xml:space="preserve">Export Excel</w:t>
      </w:r>
      <w:r>
        <w:rPr>
          <w:rFonts w:ascii="Calibri" w:cs="Calibri" w:eastAsia="Calibri" w:hAnsi="Calibri"/>
          <w:sz w:val="21"/>
          <w:szCs w:val="21"/>
        </w:rPr>
        <w:t xml:space="preserve"> au format opérationnel du client : n° de bon, date, bénéficiaire, motif, montant, frais OM, montant versé, caisse, site, service, code analytique, OR, délai par étape.</w:t>
      </w:r>
    </w:p>
    <w:p>
      <w:pPr>
        <w:pStyle w:val="ListParagraph"/>
        <w:numPr>
          <w:ilvl w:val="0"/>
          <w:numId w:val="2"/>
        </w:numPr>
        <w:spacing w:after="60"/>
      </w:pPr>
      <w:r>
        <w:rPr>
          <w:rFonts w:ascii="Calibri" w:cs="Calibri" w:eastAsia="Calibri" w:hAnsi="Calibri"/>
          <w:b/>
          <w:bCs/>
          <w:sz w:val="21"/>
          <w:szCs w:val="21"/>
        </w:rPr>
        <w:t xml:space="preserve">Rapport mensuel</w:t>
      </w:r>
      <w:r>
        <w:rPr>
          <w:rFonts w:ascii="Calibri" w:cs="Calibri" w:eastAsia="Calibri" w:hAnsi="Calibri"/>
          <w:sz w:val="21"/>
          <w:szCs w:val="21"/>
        </w:rPr>
        <w:t xml:space="preserve"> des BP non régularisés au Directeur Pays (RG-M07-07).</w:t>
      </w:r>
    </w:p>
    <w:p>
      <w:pPr>
        <w:pStyle w:val="Heading2"/>
      </w:pPr>
      <w:r>
        <w:t xml:space="preserve">8.10 M15 — Archivage et journal d'audit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7229"/>
        <w:gridCol w:w="1156"/>
      </w:tblGrid>
      <w:tr>
        <w:trPr>
          <w:tblHeader/>
        </w:trPr>
        <w:tc>
          <w:tcPr>
            <w:tcW w:type="dxa" w:w="1253"/>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7229"/>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Règle</w:t>
            </w:r>
          </w:p>
        </w:tc>
        <w:tc>
          <w:tcPr>
            <w:tcW w:type="dxa" w:w="1156"/>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Statut</w:t>
            </w:r>
          </w:p>
        </w:tc>
      </w:tr>
      <w:tr>
        <w:trPr>
          <w:cantSplit/>
        </w:trPr>
        <w:tc>
          <w:tcPr>
            <w:tcW w:type="dxa" w:w="125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RG-M15-01</w:t>
            </w:r>
          </w:p>
        </w:tc>
        <w:tc>
          <w:tcPr>
            <w:tcW w:type="dxa" w:w="722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Toutes les pièces (justificatifs, tickets, PV, PDF générés) sont archivées avec le bon ou l'ODM, consultables et recherchables.</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Existant</w:t>
            </w:r>
          </w:p>
        </w:tc>
      </w:tr>
      <w:tr>
        <w:trPr>
          <w:cantSplit/>
        </w:trPr>
        <w:tc>
          <w:tcPr>
            <w:tcW w:type="dxa" w:w="125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RG-M15-02</w:t>
            </w:r>
          </w:p>
        </w:tc>
        <w:tc>
          <w:tcPr>
            <w:tcW w:type="dxa" w:w="722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Le journal d'audit enregistre qui, quoi, quand, valeur avant / après ; il n'est ni modifiable ni supprimable.</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RG-M15-03</w:t>
            </w:r>
          </w:p>
        </w:tc>
        <w:tc>
          <w:tcPr>
            <w:tcW w:type="dxa" w:w="722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Conservation : 5 ans, puis purge sur décision de l'administrateur, jamais automatique.</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bl>
    <w:p>
      <w:pPr>
        <w:spacing w:after="100"/>
      </w:pPr>
    </w:p>
    <w:p>
      <w:pPr>
        <w:pStyle w:val="Heading2"/>
      </w:pPr>
      <w:r>
        <w:t xml:space="preserve">8.11 M16 — Imputation comptable et export comptable</w:t>
      </w:r>
    </w:p>
    <w:p>
      <w:pPr>
        <w:spacing w:after="100" w:before="0" w:line="276"/>
      </w:pPr>
      <w:r>
        <w:rPr>
          <w:rFonts w:ascii="Calibri" w:cs="Calibri" w:eastAsia="Calibri" w:hAnsi="Calibri"/>
          <w:sz w:val="21"/>
          <w:szCs w:val="21"/>
        </w:rPr>
        <w:t xml:space="preserve">Reprend le bloc « Champ réservé à la comptabilité » de l'Annexe 1. Les bons sont comptabilisés quotidiennement (§5.2) ; la saisie comptable reste dans Infor IE. </w:t>
      </w:r>
      <w:r>
        <w:rPr>
          <w:rFonts w:ascii="Calibri" w:cs="Calibri" w:eastAsia="Calibri" w:hAnsi="Calibri"/>
          <w:b/>
          <w:bCs/>
          <w:sz w:val="21"/>
          <w:szCs w:val="21"/>
        </w:rPr>
        <w:t xml:space="preserve">L'intégration avec IE, y compris un format d'import propre à IE, est hors du périmètre signé.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7229"/>
        <w:gridCol w:w="1156"/>
      </w:tblGrid>
      <w:tr>
        <w:trPr>
          <w:tblHeader/>
        </w:trPr>
        <w:tc>
          <w:tcPr>
            <w:tcW w:type="dxa" w:w="1253"/>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7229"/>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Règle</w:t>
            </w:r>
          </w:p>
        </w:tc>
        <w:tc>
          <w:tcPr>
            <w:tcW w:type="dxa" w:w="1156"/>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Statut</w:t>
            </w:r>
          </w:p>
        </w:tc>
      </w:tr>
      <w:tr>
        <w:trPr>
          <w:cantSplit/>
        </w:trPr>
        <w:tc>
          <w:tcPr>
            <w:tcW w:type="dxa" w:w="125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RG-M16-01</w:t>
            </w:r>
          </w:p>
        </w:tc>
        <w:tc>
          <w:tcPr>
            <w:tcW w:type="dxa" w:w="722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Après paiement, la Comptabilité saisit l'imputation du bon : une ou plusieurs lignes (n° de compte, libellé, montant), la somme des lignes étant égale au montant versé.</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RG-M16-02</w:t>
            </w:r>
          </w:p>
        </w:tc>
        <w:tc>
          <w:tcPr>
            <w:tcW w:type="dxa" w:w="722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Pré-remplissage : BP → compte 421100 ; frais OM → compte paramétrable ; code journal selon le mode (caisse espèces, OM, MTN MONEY).</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RG-M16-03</w:t>
            </w:r>
          </w:p>
        </w:tc>
        <w:tc>
          <w:tcPr>
            <w:tcW w:type="dxa" w:w="722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Export quotidien des écritures en Excel / CSV générique (date, n° de bon, compte, libellé, montant, code journal, code analytique). Aucun format d'import IE.</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r>
        <w:trPr>
          <w:cantSplit/>
        </w:trPr>
        <w:tc>
          <w:tcPr>
            <w:tcW w:type="dxa" w:w="125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RG-M16-04</w:t>
            </w:r>
          </w:p>
        </w:tc>
        <w:tc>
          <w:tcPr>
            <w:tcW w:type="dxa" w:w="722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Alerte au Chef comptable pour tout bon payé non imputé à J+1 ouvré.</w:t>
            </w:r>
          </w:p>
        </w:tc>
        <w:tc>
          <w:tcPr>
            <w:tcW w:type="dxa" w:w="1156"/>
            <w:tcBorders>
              <w:top w:val="single" w:color="BFC7D5" w:sz="4"/>
              <w:left w:val="single" w:color="BFC7D5" w:sz="4"/>
              <w:bottom w:val="single" w:color="BFC7D5" w:sz="4"/>
              <w:right w:val="single" w:color="BFC7D5" w:sz="4"/>
            </w:tcBorders>
            <w:shd w:fill="E3F1E5" w:color="auto" w:val="clear"/>
            <w:tcMar>
              <w:top w:type="dxa" w:w="50"/>
              <w:left w:type="dxa" w:w="90"/>
              <w:bottom w:type="dxa" w:w="50"/>
              <w:right w:type="dxa" w:w="90"/>
            </w:tcMar>
            <w:vAlign w:val="top"/>
          </w:tcPr>
          <w:p>
            <w:pPr>
              <w:spacing w:after="20"/>
            </w:pPr>
            <w:r>
              <w:rPr>
                <w:rFonts w:ascii="Calibri" w:cs="Calibri" w:eastAsia="Calibri" w:hAnsi="Calibri"/>
                <w:color w:val="1E6B2E"/>
                <w:sz w:val="18"/>
                <w:szCs w:val="18"/>
              </w:rPr>
              <w:t xml:space="preserve">Confirmé</w:t>
            </w:r>
          </w:p>
        </w:tc>
      </w:tr>
    </w:tbl>
    <w:p>
      <w:pPr>
        <w:spacing w:after="100"/>
      </w:pPr>
    </w:p>
    <w:p>
      <w:pPr>
        <w:pStyle w:val="Heading1"/>
        <w:pageBreakBefore/>
      </w:pPr>
      <w:r>
        <w:t xml:space="preserve">9. Points ouverts et valeurs par défaut</w:t>
      </w:r>
    </w:p>
    <w:p>
      <w:pPr>
        <w:spacing w:after="100" w:before="0" w:line="276"/>
      </w:pPr>
      <w:r>
        <w:rPr>
          <w:rFonts w:ascii="Calibri" w:cs="Calibri" w:eastAsia="Calibri" w:hAnsi="Calibri"/>
          <w:sz w:val="21"/>
          <w:szCs w:val="21"/>
        </w:rPr>
        <w:t xml:space="preserve">Chaque point est développé avec la valeur par défaut indiquée, </w:t>
      </w:r>
      <w:r>
        <w:rPr>
          <w:rFonts w:ascii="Calibri" w:cs="Calibri" w:eastAsia="Calibri" w:hAnsi="Calibri"/>
          <w:b/>
          <w:bCs/>
          <w:sz w:val="21"/>
          <w:szCs w:val="21"/>
        </w:rPr>
        <w:t xml:space="preserve">sous forme de paramètre</w:t>
      </w:r>
      <w:r>
        <w:rPr>
          <w:rFonts w:ascii="Calibri" w:cs="Calibri" w:eastAsia="Calibri" w:hAnsi="Calibri"/>
          <w:sz w:val="21"/>
          <w:szCs w:val="21"/>
        </w:rPr>
        <w:t xml:space="preserve">. La réponse de Neemba ne doit modifier qu'un réglage. Les questions destinées à Neemba figurent dans le mail du 07/10/2026.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2988"/>
        <w:gridCol w:w="2506"/>
        <w:gridCol w:w="1735"/>
        <w:gridCol w:w="1542"/>
      </w:tblGrid>
      <w:tr>
        <w:trPr>
          <w:tblHeader/>
        </w:trPr>
        <w:tc>
          <w:tcPr>
            <w:tcW w:type="dxa" w:w="867"/>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2988"/>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Sujet</w:t>
            </w:r>
          </w:p>
        </w:tc>
        <w:tc>
          <w:tcPr>
            <w:tcW w:type="dxa" w:w="2506"/>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Défaut développé</w:t>
            </w:r>
          </w:p>
        </w:tc>
        <w:tc>
          <w:tcPr>
            <w:tcW w:type="dxa" w:w="1735"/>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Réf.</w:t>
            </w:r>
          </w:p>
        </w:tc>
        <w:tc>
          <w:tcPr>
            <w:tcW w:type="dxa" w:w="1542"/>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Attendu de</w:t>
            </w:r>
          </w:p>
        </w:tc>
      </w:tr>
      <w:tr>
        <w:trPr>
          <w:cantSplit/>
        </w:trPr>
        <w:tc>
          <w:tcPr>
            <w:tcW w:type="dxa" w:w="867"/>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PO-01</w:t>
            </w:r>
          </w:p>
        </w:tc>
        <w:tc>
          <w:tcPr>
            <w:tcW w:type="dxa" w:w="2988"/>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Frais OM ≤ 100 000 et &gt; 15 000 000 GNF</w:t>
            </w:r>
          </w:p>
        </w:tc>
        <w:tc>
          <w:tcPr>
            <w:tcW w:type="dxa" w:w="2506"/>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Saisie manuelle par la Trésorerie</w:t>
            </w:r>
          </w:p>
        </w:tc>
        <w:tc>
          <w:tcPr>
            <w:tcW w:type="dxa" w:w="1735"/>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§6.6</w:t>
            </w:r>
          </w:p>
        </w:tc>
        <w:tc>
          <w:tcPr>
            <w:tcW w:type="dxa" w:w="1542"/>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Neemba</w:t>
            </w:r>
          </w:p>
        </w:tc>
      </w:tr>
      <w:tr>
        <w:trPr>
          <w:cantSplit/>
        </w:trPr>
        <w:tc>
          <w:tcPr>
            <w:tcW w:type="dxa" w:w="867"/>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PO-02</w:t>
            </w:r>
          </w:p>
        </w:tc>
        <w:tc>
          <w:tcPr>
            <w:tcW w:type="dxa" w:w="2988"/>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Libellés des deux lignes de 125 000 GNF</w:t>
            </w:r>
          </w:p>
        </w:tc>
        <w:tc>
          <w:tcPr>
            <w:tcW w:type="dxa" w:w="2506"/>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Repas / Déplacement</w:t>
            </w:r>
          </w:p>
        </w:tc>
        <w:tc>
          <w:tcPr>
            <w:tcW w:type="dxa" w:w="1735"/>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RG-M12-08</w:t>
            </w:r>
          </w:p>
        </w:tc>
        <w:tc>
          <w:tcPr>
            <w:tcW w:type="dxa" w:w="1542"/>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Neemba</w:t>
            </w:r>
          </w:p>
        </w:tc>
      </w:tr>
      <w:tr>
        <w:trPr>
          <w:cantSplit/>
        </w:trPr>
        <w:tc>
          <w:tcPr>
            <w:tcW w:type="dxa" w:w="867"/>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PO-03</w:t>
            </w:r>
          </w:p>
        </w:tc>
        <w:tc>
          <w:tcPr>
            <w:tcW w:type="dxa" w:w="2988"/>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Un bon par participant ou bon groupé</w:t>
            </w:r>
          </w:p>
        </w:tc>
        <w:tc>
          <w:tcPr>
            <w:tcW w:type="dxa" w:w="2506"/>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Un bon par participant</w:t>
            </w:r>
          </w:p>
        </w:tc>
        <w:tc>
          <w:tcPr>
            <w:tcW w:type="dxa" w:w="1735"/>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RG-M12-14</w:t>
            </w:r>
          </w:p>
        </w:tc>
        <w:tc>
          <w:tcPr>
            <w:tcW w:type="dxa" w:w="1542"/>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DAF Neemba</w:t>
            </w:r>
          </w:p>
        </w:tc>
      </w:tr>
      <w:tr>
        <w:trPr>
          <w:cantSplit/>
        </w:trPr>
        <w:tc>
          <w:tcPr>
            <w:tcW w:type="dxa" w:w="867"/>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PO-04</w:t>
            </w:r>
          </w:p>
        </w:tc>
        <w:tc>
          <w:tcPr>
            <w:tcW w:type="dxa" w:w="2988"/>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ODM à la charge du client</w:t>
            </w:r>
          </w:p>
        </w:tc>
        <w:tc>
          <w:tcPr>
            <w:tcW w:type="dxa" w:w="2506"/>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Variante A (bons + « à refacturer »)</w:t>
            </w:r>
          </w:p>
        </w:tc>
        <w:tc>
          <w:tcPr>
            <w:tcW w:type="dxa" w:w="1735"/>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RG-M12-15</w:t>
            </w:r>
          </w:p>
        </w:tc>
        <w:tc>
          <w:tcPr>
            <w:tcW w:type="dxa" w:w="1542"/>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Neemba</w:t>
            </w:r>
          </w:p>
        </w:tc>
      </w:tr>
      <w:tr>
        <w:trPr>
          <w:cantSplit/>
        </w:trPr>
        <w:tc>
          <w:tcPr>
            <w:tcW w:type="dxa" w:w="867"/>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PO-05</w:t>
            </w:r>
          </w:p>
        </w:tc>
        <w:tc>
          <w:tcPr>
            <w:tcW w:type="dxa" w:w="2988"/>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Prolongation = ODM lié à l'initial</w:t>
            </w:r>
          </w:p>
        </w:tc>
        <w:tc>
          <w:tcPr>
            <w:tcW w:type="dxa" w:w="2506"/>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Retenu</w:t>
            </w:r>
          </w:p>
        </w:tc>
        <w:tc>
          <w:tcPr>
            <w:tcW w:type="dxa" w:w="1735"/>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RG-M12-17</w:t>
            </w:r>
          </w:p>
        </w:tc>
        <w:tc>
          <w:tcPr>
            <w:tcW w:type="dxa" w:w="1542"/>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Neemba (sauf objection)</w:t>
            </w:r>
          </w:p>
        </w:tc>
      </w:tr>
      <w:tr>
        <w:trPr>
          <w:cantSplit/>
        </w:trPr>
        <w:tc>
          <w:tcPr>
            <w:tcW w:type="dxa" w:w="867"/>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PO-06</w:t>
            </w:r>
          </w:p>
        </w:tc>
        <w:tc>
          <w:tcPr>
            <w:tcW w:type="dxa" w:w="2988"/>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Définition d'une mission technique</w:t>
            </w:r>
          </w:p>
        </w:tc>
        <w:tc>
          <w:tcPr>
            <w:tcW w:type="dxa" w:w="2506"/>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Case pré-cochée pour Technique et Aftermarket</w:t>
            </w:r>
          </w:p>
        </w:tc>
        <w:tc>
          <w:tcPr>
            <w:tcW w:type="dxa" w:w="1735"/>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RG-M12-02</w:t>
            </w:r>
          </w:p>
        </w:tc>
        <w:tc>
          <w:tcPr>
            <w:tcW w:type="dxa" w:w="1542"/>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Neemba</w:t>
            </w:r>
          </w:p>
        </w:tc>
      </w:tr>
      <w:tr>
        <w:trPr>
          <w:cantSplit/>
        </w:trPr>
        <w:tc>
          <w:tcPr>
            <w:tcW w:type="dxa" w:w="867"/>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PO-07</w:t>
            </w:r>
          </w:p>
        </w:tc>
        <w:tc>
          <w:tcPr>
            <w:tcW w:type="dxa" w:w="2988"/>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Hébergement à l'étranger : plafond éventuel de la facture</w:t>
            </w:r>
          </w:p>
        </w:tc>
        <w:tc>
          <w:tcPr>
            <w:tcW w:type="dxa" w:w="2506"/>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Facture réelle, sans plafond</w:t>
            </w:r>
          </w:p>
        </w:tc>
        <w:tc>
          <w:tcPr>
            <w:tcW w:type="dxa" w:w="1735"/>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RG-M12-26</w:t>
            </w:r>
          </w:p>
        </w:tc>
        <w:tc>
          <w:tcPr>
            <w:tcW w:type="dxa" w:w="1542"/>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Neemba</w:t>
            </w:r>
          </w:p>
        </w:tc>
      </w:tr>
      <w:tr>
        <w:trPr>
          <w:cantSplit/>
        </w:trPr>
        <w:tc>
          <w:tcPr>
            <w:tcW w:type="dxa" w:w="867"/>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PO-08</w:t>
            </w:r>
          </w:p>
        </w:tc>
        <w:tc>
          <w:tcPr>
            <w:tcW w:type="dxa" w:w="2988"/>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Taux de change du jour</w:t>
            </w:r>
          </w:p>
        </w:tc>
        <w:tc>
          <w:tcPr>
            <w:tcW w:type="dxa" w:w="2506"/>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Saisi par la Trésorerie</w:t>
            </w:r>
          </w:p>
        </w:tc>
        <w:tc>
          <w:tcPr>
            <w:tcW w:type="dxa" w:w="1735"/>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RG-M12-10</w:t>
            </w:r>
          </w:p>
        </w:tc>
        <w:tc>
          <w:tcPr>
            <w:tcW w:type="dxa" w:w="1542"/>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Neemba</w:t>
            </w:r>
          </w:p>
        </w:tc>
      </w:tr>
      <w:tr>
        <w:trPr>
          <w:cantSplit/>
        </w:trPr>
        <w:tc>
          <w:tcPr>
            <w:tcW w:type="dxa" w:w="867"/>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PO-09</w:t>
            </w:r>
          </w:p>
        </w:tc>
        <w:tc>
          <w:tcPr>
            <w:tcW w:type="dxa" w:w="2988"/>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Procédure ODM du groupe (en rédaction)</w:t>
            </w:r>
          </w:p>
        </w:tc>
        <w:tc>
          <w:tcPr>
            <w:tcW w:type="dxa" w:w="2506"/>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Règles de ce document</w:t>
            </w:r>
          </w:p>
        </w:tc>
        <w:tc>
          <w:tcPr>
            <w:tcW w:type="dxa" w:w="1735"/>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w:t>
            </w:r>
          </w:p>
        </w:tc>
        <w:tc>
          <w:tcPr>
            <w:tcW w:type="dxa" w:w="1542"/>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Neemba</w:t>
            </w:r>
          </w:p>
        </w:tc>
      </w:tr>
      <w:tr>
        <w:trPr>
          <w:cantSplit/>
        </w:trPr>
        <w:tc>
          <w:tcPr>
            <w:tcW w:type="dxa" w:w="867"/>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PO-10</w:t>
            </w:r>
          </w:p>
        </w:tc>
        <w:tc>
          <w:tcPr>
            <w:tcW w:type="dxa" w:w="2988"/>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Droit d'annulation d'un bon</w:t>
            </w:r>
          </w:p>
        </w:tc>
        <w:tc>
          <w:tcPr>
            <w:tcW w:type="dxa" w:w="2506"/>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Demandeur avant 1er visa, puis DAF</w:t>
            </w:r>
          </w:p>
        </w:tc>
        <w:tc>
          <w:tcPr>
            <w:tcW w:type="dxa" w:w="1735"/>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RG-M04-07</w:t>
            </w:r>
          </w:p>
        </w:tc>
        <w:tc>
          <w:tcPr>
            <w:tcW w:type="dxa" w:w="1542"/>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Neemba</w:t>
            </w:r>
          </w:p>
        </w:tc>
      </w:tr>
      <w:tr>
        <w:trPr>
          <w:cantSplit/>
        </w:trPr>
        <w:tc>
          <w:tcPr>
            <w:tcW w:type="dxa" w:w="867"/>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PO-11</w:t>
            </w:r>
          </w:p>
        </w:tc>
        <w:tc>
          <w:tcPr>
            <w:tcW w:type="dxa" w:w="2988"/>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Calcul de l'avance carburant</w:t>
            </w:r>
          </w:p>
        </w:tc>
        <w:tc>
          <w:tcPr>
            <w:tcW w:type="dxa" w:w="2506"/>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Saisie libre par la Logistique</w:t>
            </w:r>
          </w:p>
        </w:tc>
        <w:tc>
          <w:tcPr>
            <w:tcW w:type="dxa" w:w="1735"/>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RG-M13-02</w:t>
            </w:r>
          </w:p>
        </w:tc>
        <w:tc>
          <w:tcPr>
            <w:tcW w:type="dxa" w:w="1542"/>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Neemba</w:t>
            </w:r>
          </w:p>
        </w:tc>
      </w:tr>
      <w:tr>
        <w:trPr>
          <w:cantSplit/>
        </w:trPr>
        <w:tc>
          <w:tcPr>
            <w:tcW w:type="dxa" w:w="867"/>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PO-12</w:t>
            </w:r>
          </w:p>
        </w:tc>
        <w:tc>
          <w:tcPr>
            <w:tcW w:type="dxa" w:w="2988"/>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Neemba Mining / Simandou</w:t>
            </w:r>
          </w:p>
        </w:tc>
        <w:tc>
          <w:tcPr>
            <w:tcW w:type="dxa" w:w="2506"/>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Neemba Guinée seule active</w:t>
            </w:r>
          </w:p>
        </w:tc>
        <w:tc>
          <w:tcPr>
            <w:tcW w:type="dxa" w:w="1735"/>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RG-M01-02</w:t>
            </w:r>
          </w:p>
        </w:tc>
        <w:tc>
          <w:tcPr>
            <w:tcW w:type="dxa" w:w="1542"/>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Neemba</w:t>
            </w:r>
          </w:p>
        </w:tc>
      </w:tr>
      <w:tr>
        <w:trPr>
          <w:cantSplit/>
        </w:trPr>
        <w:tc>
          <w:tcPr>
            <w:tcW w:type="dxa" w:w="867"/>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PO-13</w:t>
            </w:r>
          </w:p>
        </w:tc>
        <w:tc>
          <w:tcPr>
            <w:tcW w:type="dxa" w:w="2988"/>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Codes analytiques, Atelier et CORICA</w:t>
            </w:r>
          </w:p>
        </w:tc>
        <w:tc>
          <w:tcPr>
            <w:tcW w:type="dxa" w:w="2506"/>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22 radicaux à 6 caractères</w:t>
            </w:r>
          </w:p>
        </w:tc>
        <w:tc>
          <w:tcPr>
            <w:tcW w:type="dxa" w:w="1735"/>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§6.4</w:t>
            </w:r>
          </w:p>
        </w:tc>
        <w:tc>
          <w:tcPr>
            <w:tcW w:type="dxa" w:w="1542"/>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CDG Neemba</w:t>
            </w:r>
          </w:p>
        </w:tc>
      </w:tr>
      <w:tr>
        <w:trPr>
          <w:cantSplit/>
        </w:trPr>
        <w:tc>
          <w:tcPr>
            <w:tcW w:type="dxa" w:w="867"/>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PO-14</w:t>
            </w:r>
          </w:p>
        </w:tc>
        <w:tc>
          <w:tcPr>
            <w:tcW w:type="dxa" w:w="2988"/>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Codes de service numériques</w:t>
            </w:r>
          </w:p>
        </w:tc>
        <w:tc>
          <w:tcPr>
            <w:tcW w:type="dxa" w:w="2506"/>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Champ vide</w:t>
            </w:r>
          </w:p>
        </w:tc>
        <w:tc>
          <w:tcPr>
            <w:tcW w:type="dxa" w:w="1735"/>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§6.3</w:t>
            </w:r>
          </w:p>
        </w:tc>
        <w:tc>
          <w:tcPr>
            <w:tcW w:type="dxa" w:w="1542"/>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Neemba</w:t>
            </w:r>
          </w:p>
        </w:tc>
      </w:tr>
      <w:tr>
        <w:trPr>
          <w:cantSplit/>
        </w:trPr>
        <w:tc>
          <w:tcPr>
            <w:tcW w:type="dxa" w:w="867"/>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PO-15</w:t>
            </w:r>
          </w:p>
        </w:tc>
        <w:tc>
          <w:tcPr>
            <w:tcW w:type="dxa" w:w="2988"/>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Fichier utilisateurs et signataires habilités</w:t>
            </w:r>
          </w:p>
        </w:tc>
        <w:tc>
          <w:tcPr>
            <w:tcW w:type="dxa" w:w="2506"/>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Import partiel du fichier reçu</w:t>
            </w:r>
          </w:p>
        </w:tc>
        <w:tc>
          <w:tcPr>
            <w:tcW w:type="dxa" w:w="1735"/>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§6.5, RG-M02-09</w:t>
            </w:r>
          </w:p>
        </w:tc>
        <w:tc>
          <w:tcPr>
            <w:tcW w:type="dxa" w:w="1542"/>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Neemba / RH</w:t>
            </w:r>
          </w:p>
        </w:tc>
      </w:tr>
      <w:tr>
        <w:trPr>
          <w:cantSplit/>
        </w:trPr>
        <w:tc>
          <w:tcPr>
            <w:tcW w:type="dxa" w:w="867"/>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PO-16</w:t>
            </w:r>
          </w:p>
        </w:tc>
        <w:tc>
          <w:tcPr>
            <w:tcW w:type="dxa" w:w="2988"/>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Reprise des données au passage en réel</w:t>
            </w:r>
          </w:p>
        </w:tc>
        <w:tc>
          <w:tcPr>
            <w:tcW w:type="dxa" w:w="2506"/>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Import contrôlé, validé par le Chef comptable</w:t>
            </w:r>
          </w:p>
        </w:tc>
        <w:tc>
          <w:tcPr>
            <w:tcW w:type="dxa" w:w="1735"/>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§2.3</w:t>
            </w:r>
          </w:p>
        </w:tc>
        <w:tc>
          <w:tcPr>
            <w:tcW w:type="dxa" w:w="1542"/>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Neemba, avant S5</w:t>
            </w:r>
          </w:p>
        </w:tc>
      </w:tr>
      <w:tr>
        <w:trPr>
          <w:cantSplit/>
        </w:trPr>
        <w:tc>
          <w:tcPr>
            <w:tcW w:type="dxa" w:w="867"/>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PO-17</w:t>
            </w:r>
          </w:p>
        </w:tc>
        <w:tc>
          <w:tcPr>
            <w:tcW w:type="dxa" w:w="2988"/>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Compte comptable des frais OM</w:t>
            </w:r>
          </w:p>
        </w:tc>
        <w:tc>
          <w:tcPr>
            <w:tcW w:type="dxa" w:w="2506"/>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Paramètre vide</w:t>
            </w:r>
          </w:p>
        </w:tc>
        <w:tc>
          <w:tcPr>
            <w:tcW w:type="dxa" w:w="1735"/>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RG-M16-02</w:t>
            </w:r>
          </w:p>
        </w:tc>
        <w:tc>
          <w:tcPr>
            <w:tcW w:type="dxa" w:w="1542"/>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Comptabilité Neemba</w:t>
            </w:r>
          </w:p>
        </w:tc>
      </w:tr>
      <w:tr>
        <w:trPr>
          <w:cantSplit/>
        </w:trPr>
        <w:tc>
          <w:tcPr>
            <w:tcW w:type="dxa" w:w="867"/>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PO-18</w:t>
            </w:r>
          </w:p>
        </w:tc>
        <w:tc>
          <w:tcPr>
            <w:tcW w:type="dxa" w:w="2988"/>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Destinataires du rapport journalier hors Conakry</w:t>
            </w:r>
          </w:p>
        </w:tc>
        <w:tc>
          <w:tcPr>
            <w:tcW w:type="dxa" w:w="2506"/>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Gestionnaire de la caisse + Trésorerie</w:t>
            </w:r>
          </w:p>
        </w:tc>
        <w:tc>
          <w:tcPr>
            <w:tcW w:type="dxa" w:w="1735"/>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RG-M09-04</w:t>
            </w:r>
          </w:p>
        </w:tc>
        <w:tc>
          <w:tcPr>
            <w:tcW w:type="dxa" w:w="1542"/>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Neemba</w:t>
            </w:r>
          </w:p>
        </w:tc>
      </w:tr>
      <w:tr>
        <w:trPr>
          <w:cantSplit/>
        </w:trPr>
        <w:tc>
          <w:tcPr>
            <w:tcW w:type="dxa" w:w="867"/>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PO-19</w:t>
            </w:r>
          </w:p>
        </w:tc>
        <w:tc>
          <w:tcPr>
            <w:tcW w:type="dxa" w:w="2988"/>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Format des numéros de bon et d'ODM</w:t>
            </w:r>
          </w:p>
        </w:tc>
        <w:tc>
          <w:tcPr>
            <w:tcW w:type="dxa" w:w="2506"/>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BC-[caisse]-[AAAA]-[n] ; N°[n]/[préfixe]/[AA]</w:t>
            </w:r>
          </w:p>
        </w:tc>
        <w:tc>
          <w:tcPr>
            <w:tcW w:type="dxa" w:w="1735"/>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RG-M03-18, RG-M12-03</w:t>
            </w:r>
          </w:p>
        </w:tc>
        <w:tc>
          <w:tcPr>
            <w:tcW w:type="dxa" w:w="1542"/>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Addvalis</w:t>
            </w:r>
          </w:p>
        </w:tc>
      </w:tr>
      <w:tr>
        <w:trPr>
          <w:cantSplit/>
        </w:trPr>
        <w:tc>
          <w:tcPr>
            <w:tcW w:type="dxa" w:w="867"/>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PO-20</w:t>
            </w:r>
          </w:p>
        </w:tc>
        <w:tc>
          <w:tcPr>
            <w:tcW w:type="dxa" w:w="2988"/>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Anomalies ANO-02, 04, 08, 11 à 14</w:t>
            </w:r>
          </w:p>
        </w:tc>
        <w:tc>
          <w:tcPr>
            <w:tcW w:type="dxa" w:w="2506"/>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Relevé par Maurice sur la plateforme</w:t>
            </w:r>
          </w:p>
        </w:tc>
        <w:tc>
          <w:tcPr>
            <w:tcW w:type="dxa" w:w="1735"/>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§5.2</w:t>
            </w:r>
          </w:p>
        </w:tc>
        <w:tc>
          <w:tcPr>
            <w:tcW w:type="dxa" w:w="1542"/>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Maurice</w:t>
            </w:r>
          </w:p>
        </w:tc>
      </w:tr>
      <w:tr>
        <w:trPr>
          <w:cantSplit/>
        </w:trPr>
        <w:tc>
          <w:tcPr>
            <w:tcW w:type="dxa" w:w="867"/>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PO-21</w:t>
            </w:r>
          </w:p>
        </w:tc>
        <w:tc>
          <w:tcPr>
            <w:tcW w:type="dxa" w:w="2988"/>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Mission KOUROUMA : 57 nuits payées pour 59 jours</w:t>
            </w:r>
          </w:p>
        </w:tc>
        <w:tc>
          <w:tcPr>
            <w:tcW w:type="dxa" w:w="2506"/>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Règle de ce document (58)</w:t>
            </w:r>
          </w:p>
        </w:tc>
        <w:tc>
          <w:tcPr>
            <w:tcW w:type="dxa" w:w="1735"/>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Annexe B.4</w:t>
            </w:r>
          </w:p>
        </w:tc>
        <w:tc>
          <w:tcPr>
            <w:tcW w:type="dxa" w:w="1542"/>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Neemba</w:t>
            </w:r>
          </w:p>
        </w:tc>
      </w:tr>
      <w:tr>
        <w:trPr>
          <w:cantSplit/>
        </w:trPr>
        <w:tc>
          <w:tcPr>
            <w:tcW w:type="dxa" w:w="867"/>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PO-22</w:t>
            </w:r>
          </w:p>
        </w:tc>
        <w:tc>
          <w:tcPr>
            <w:tcW w:type="dxa" w:w="2988"/>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Délégations de signature et de pouvoirs (habilitations par montant)</w:t>
            </w:r>
          </w:p>
        </w:tc>
        <w:tc>
          <w:tcPr>
            <w:tcW w:type="dxa" w:w="2506"/>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Circuit de ce document</w:t>
            </w:r>
          </w:p>
        </w:tc>
        <w:tc>
          <w:tcPr>
            <w:tcW w:type="dxa" w:w="1735"/>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M04, M05</w:t>
            </w:r>
          </w:p>
        </w:tc>
        <w:tc>
          <w:tcPr>
            <w:tcW w:type="dxa" w:w="1542"/>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Thierno (relecture)</w:t>
            </w:r>
          </w:p>
        </w:tc>
      </w:tr>
      <w:tr>
        <w:trPr>
          <w:cantSplit/>
        </w:trPr>
        <w:tc>
          <w:tcPr>
            <w:tcW w:type="dxa" w:w="867"/>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PO-23</w:t>
            </w:r>
          </w:p>
        </w:tc>
        <w:tc>
          <w:tcPr>
            <w:tcW w:type="dxa" w:w="2988"/>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Infrastructure (hébergement, SMTP, SMS, API OM, sauvegardes)</w:t>
            </w:r>
          </w:p>
        </w:tc>
        <w:tc>
          <w:tcPr>
            <w:tcW w:type="dxa" w:w="2506"/>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w:t>
            </w:r>
          </w:p>
        </w:tc>
        <w:tc>
          <w:tcPr>
            <w:tcW w:type="dxa" w:w="1735"/>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Session IT / HUB</w:t>
            </w:r>
          </w:p>
        </w:tc>
        <w:tc>
          <w:tcPr>
            <w:tcW w:type="dxa" w:w="1542"/>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IT Neemba</w:t>
            </w:r>
          </w:p>
        </w:tc>
      </w:tr>
    </w:tbl>
    <w:p>
      <w:pPr>
        <w:spacing w:after="100"/>
      </w:pPr>
    </w:p>
    <w:p>
      <w:pPr>
        <w:pStyle w:val="Heading1"/>
        <w:pageBreakBefore/>
      </w:pPr>
      <w:r>
        <w:t xml:space="preserve">10. Plan de livraison</w:t>
      </w:r>
    </w:p>
    <w:p>
      <w:pPr>
        <w:spacing w:after="100" w:before="0" w:line="276"/>
      </w:pPr>
      <w:r>
        <w:rPr>
          <w:rFonts w:ascii="Calibri" w:cs="Calibri" w:eastAsia="Calibri" w:hAnsi="Calibri"/>
          <w:sz w:val="21"/>
          <w:szCs w:val="21"/>
        </w:rPr>
        <w:t xml:space="preserve">Objectif : </w:t>
      </w:r>
      <w:r>
        <w:rPr>
          <w:rFonts w:ascii="Calibri" w:cs="Calibri" w:eastAsia="Calibri" w:hAnsi="Calibri"/>
          <w:b/>
          <w:bCs/>
          <w:sz w:val="21"/>
          <w:szCs w:val="21"/>
        </w:rPr>
        <w:t xml:space="preserve">8 semaines</w:t>
      </w:r>
      <w:r>
        <w:rPr>
          <w:rFonts w:ascii="Calibri" w:cs="Calibri" w:eastAsia="Calibri" w:hAnsi="Calibri"/>
          <w:sz w:val="21"/>
          <w:szCs w:val="21"/>
        </w:rPr>
        <w:t xml:space="preserve"> à compter de la remise de cette spécification. S1 = semaine du 12/10/2026.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5590"/>
        <w:gridCol w:w="2891"/>
      </w:tblGrid>
      <w:tr>
        <w:trPr>
          <w:tblHeader/>
        </w:trPr>
        <w:tc>
          <w:tcPr>
            <w:tcW w:type="dxa" w:w="1157"/>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Semaine</w:t>
            </w:r>
          </w:p>
        </w:tc>
        <w:tc>
          <w:tcPr>
            <w:tcW w:type="dxa" w:w="5590"/>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Contenu</w:t>
            </w:r>
          </w:p>
        </w:tc>
        <w:tc>
          <w:tcPr>
            <w:tcW w:type="dxa" w:w="2891"/>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Scénarios à passer</w:t>
            </w:r>
          </w:p>
        </w:tc>
      </w:tr>
      <w:tr>
        <w:trPr>
          <w:cantSplit/>
        </w:trPr>
        <w:tc>
          <w:tcPr>
            <w:tcW w:type="dxa" w:w="1157"/>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S1</w:t>
            </w:r>
          </w:p>
        </w:tc>
        <w:tc>
          <w:tcPr>
            <w:tcW w:type="dxa" w:w="5590"/>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Correction des anomalies du socle ; M02 (caisses, services, tiers, paramètres) ; début M03</w:t>
            </w:r>
          </w:p>
        </w:tc>
        <w:tc>
          <w:tcPr>
            <w:tcW w:type="dxa" w:w="2891"/>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w:t>
            </w:r>
          </w:p>
        </w:tc>
      </w:tr>
      <w:tr>
        <w:trPr>
          <w:cantSplit/>
        </w:trPr>
        <w:tc>
          <w:tcPr>
            <w:tcW w:type="dxa" w:w="1157"/>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S2</w:t>
            </w:r>
          </w:p>
        </w:tc>
        <w:tc>
          <w:tcPr>
            <w:tcW w:type="dxa" w:w="5590"/>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Fin M03 ; M04 ; M05 ; M11</w:t>
            </w:r>
          </w:p>
        </w:tc>
        <w:tc>
          <w:tcPr>
            <w:tcW w:type="dxa" w:w="2891"/>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SC-01 à SC-04, SC-10 à SC-13</w:t>
            </w:r>
          </w:p>
        </w:tc>
      </w:tr>
      <w:tr>
        <w:trPr>
          <w:cantSplit/>
        </w:trPr>
        <w:tc>
          <w:tcPr>
            <w:tcW w:type="dxa" w:w="1157"/>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S3</w:t>
            </w:r>
          </w:p>
        </w:tc>
        <w:tc>
          <w:tcPr>
            <w:tcW w:type="dxa" w:w="5590"/>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M06 ; M07 (régularisation, blocage paramétrable)</w:t>
            </w:r>
          </w:p>
        </w:tc>
        <w:tc>
          <w:tcPr>
            <w:tcW w:type="dxa" w:w="2891"/>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SC-05 à SC-09, SC-14</w:t>
            </w:r>
          </w:p>
        </w:tc>
      </w:tr>
      <w:tr>
        <w:trPr>
          <w:cantSplit/>
        </w:trPr>
        <w:tc>
          <w:tcPr>
            <w:tcW w:type="dxa" w:w="1157"/>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S4</w:t>
            </w:r>
          </w:p>
        </w:tc>
        <w:tc>
          <w:tcPr>
            <w:tcW w:type="dxa" w:w="5590"/>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M08 (réapprovisionnement, Atelier, encaissement client, réconciliation OM) ; M09 ; M10 ; M16</w:t>
            </w:r>
          </w:p>
        </w:tc>
        <w:tc>
          <w:tcPr>
            <w:tcW w:type="dxa" w:w="2891"/>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SC-15 à SC-19, SC-34, SC-35</w:t>
            </w:r>
          </w:p>
        </w:tc>
      </w:tr>
      <w:tr>
        <w:trPr>
          <w:cantSplit/>
        </w:trPr>
        <w:tc>
          <w:tcPr>
            <w:tcW w:type="dxa" w:w="1157"/>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S5</w:t>
            </w:r>
          </w:p>
        </w:tc>
        <w:tc>
          <w:tcPr>
            <w:tcW w:type="dxa" w:w="5590"/>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M14 ; M15 ; recette P1 → passage en réel à Conakry</w:t>
            </w:r>
          </w:p>
        </w:tc>
        <w:tc>
          <w:tcPr>
            <w:tcW w:type="dxa" w:w="2891"/>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SC-01 à SC-19, SC-33 à SC-35</w:t>
            </w:r>
          </w:p>
        </w:tc>
      </w:tr>
      <w:tr>
        <w:trPr>
          <w:cantSplit/>
        </w:trPr>
        <w:tc>
          <w:tcPr>
            <w:tcW w:type="dxa" w:w="1157"/>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S6</w:t>
            </w:r>
          </w:p>
        </w:tc>
        <w:tc>
          <w:tcPr>
            <w:tcW w:type="dxa" w:w="5590"/>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M12 : création, calcul, circuit, génération des bons (BD et BP), chevauchement</w:t>
            </w:r>
          </w:p>
        </w:tc>
        <w:tc>
          <w:tcPr>
            <w:tcW w:type="dxa" w:w="2891"/>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SC-20 à SC-23, SC-26, SC-27, SC-37</w:t>
            </w:r>
          </w:p>
        </w:tc>
      </w:tr>
      <w:tr>
        <w:trPr>
          <w:cantSplit/>
        </w:trPr>
        <w:tc>
          <w:tcPr>
            <w:tcW w:type="dxa" w:w="1157"/>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S7</w:t>
            </w:r>
          </w:p>
        </w:tc>
        <w:tc>
          <w:tcPr>
            <w:tcW w:type="dxa" w:w="5590"/>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M12 : prolongation, clôture, extérieur, prise en charge client ; M13 ; recette P2</w:t>
            </w:r>
          </w:p>
        </w:tc>
        <w:tc>
          <w:tcPr>
            <w:tcW w:type="dxa" w:w="2891"/>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SC-24, SC-25, SC-28 à SC-32</w:t>
            </w:r>
          </w:p>
        </w:tc>
      </w:tr>
      <w:tr>
        <w:trPr>
          <w:cantSplit/>
        </w:trPr>
        <w:tc>
          <w:tcPr>
            <w:tcW w:type="dxa" w:w="1157"/>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S8</w:t>
            </w:r>
          </w:p>
        </w:tc>
        <w:tc>
          <w:tcPr>
            <w:tcW w:type="dxa" w:w="5590"/>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P3 : paramétrage des caisses de site, comptes des référents, saisie hors ligne, recette d'ensemble</w:t>
            </w:r>
          </w:p>
        </w:tc>
        <w:tc>
          <w:tcPr>
            <w:tcW w:type="dxa" w:w="2891"/>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Les 37 scénarios</w:t>
            </w:r>
          </w:p>
        </w:tc>
      </w:tr>
    </w:tbl>
    <w:p>
      <w:pPr>
        <w:spacing w:after="100"/>
      </w:pPr>
    </w:p>
    <w:p>
      <w:pPr>
        <w:pStyle w:val="Heading2"/>
      </w:pPr>
      <w:r>
        <w:t xml:space="preserve">10.1 Définition de « terminé »</w:t>
      </w:r>
    </w:p>
    <w:p>
      <w:pPr>
        <w:pStyle w:val="ListParagraph"/>
        <w:numPr>
          <w:ilvl w:val="0"/>
          <w:numId w:val="2"/>
        </w:numPr>
        <w:spacing w:after="60"/>
      </w:pPr>
      <w:r>
        <w:rPr>
          <w:rFonts w:ascii="Calibri" w:cs="Calibri" w:eastAsia="Calibri" w:hAnsi="Calibri"/>
          <w:sz w:val="21"/>
          <w:szCs w:val="21"/>
        </w:rPr>
        <w:t xml:space="preserve">Tous les scénarios du lot passent sur l'environnement de recette, avec les jeux de données du cahier.</w:t>
      </w:r>
    </w:p>
    <w:p>
      <w:pPr>
        <w:pStyle w:val="ListParagraph"/>
        <w:numPr>
          <w:ilvl w:val="0"/>
          <w:numId w:val="2"/>
        </w:numPr>
        <w:spacing w:after="60"/>
      </w:pPr>
      <w:r>
        <w:rPr>
          <w:rFonts w:ascii="Calibri" w:cs="Calibri" w:eastAsia="Calibri" w:hAnsi="Calibri"/>
          <w:sz w:val="21"/>
          <w:szCs w:val="21"/>
        </w:rPr>
        <w:t xml:space="preserve">Aucun seuil, plafond, taux, barème ou délai n'est codé en dur.</w:t>
      </w:r>
    </w:p>
    <w:p>
      <w:pPr>
        <w:pStyle w:val="ListParagraph"/>
        <w:numPr>
          <w:ilvl w:val="0"/>
          <w:numId w:val="2"/>
        </w:numPr>
        <w:spacing w:after="60"/>
      </w:pPr>
      <w:r>
        <w:rPr>
          <w:rFonts w:ascii="Calibri" w:cs="Calibri" w:eastAsia="Calibri" w:hAnsi="Calibri"/>
          <w:sz w:val="21"/>
          <w:szCs w:val="21"/>
        </w:rPr>
        <w:t xml:space="preserve">Chaque action est tracée au journal d'audit.</w:t>
      </w:r>
    </w:p>
    <w:p>
      <w:pPr>
        <w:pStyle w:val="ListParagraph"/>
        <w:numPr>
          <w:ilvl w:val="0"/>
          <w:numId w:val="2"/>
        </w:numPr>
        <w:spacing w:after="60"/>
      </w:pPr>
      <w:r>
        <w:rPr>
          <w:rFonts w:ascii="Calibri" w:cs="Calibri" w:eastAsia="Calibri" w:hAnsi="Calibri"/>
          <w:sz w:val="21"/>
          <w:szCs w:val="21"/>
        </w:rPr>
        <w:t xml:space="preserve">Les messages affichés sont ceux de ce document (texte exact).</w:t>
      </w:r>
    </w:p>
    <w:p>
      <w:pPr>
        <w:pStyle w:val="Heading2"/>
      </w:pPr>
      <w:r>
        <w:t xml:space="preserve">10.2 Dépendances</w:t>
      </w:r>
    </w:p>
    <w:p>
      <w:pPr>
        <w:pStyle w:val="ListParagraph"/>
        <w:numPr>
          <w:ilvl w:val="0"/>
          <w:numId w:val="2"/>
        </w:numPr>
        <w:spacing w:after="60"/>
      </w:pPr>
      <w:r>
        <w:rPr>
          <w:rFonts w:ascii="Calibri" w:cs="Calibri" w:eastAsia="Calibri" w:hAnsi="Calibri"/>
          <w:sz w:val="21"/>
          <w:szCs w:val="21"/>
        </w:rPr>
        <w:t xml:space="preserve">Session technique IT / HUB (hébergement, SMTP, SMS, API OM) : </w:t>
      </w:r>
      <w:r>
        <w:rPr>
          <w:rFonts w:ascii="Calibri" w:cs="Calibri" w:eastAsia="Calibri" w:hAnsi="Calibri"/>
          <w:b/>
          <w:bCs/>
          <w:sz w:val="21"/>
          <w:szCs w:val="21"/>
        </w:rPr>
        <w:t xml:space="preserve">avant S2</w:t>
      </w:r>
      <w:r>
        <w:rPr>
          <w:rFonts w:ascii="Calibri" w:cs="Calibri" w:eastAsia="Calibri" w:hAnsi="Calibri"/>
          <w:sz w:val="21"/>
          <w:szCs w:val="21"/>
        </w:rPr>
        <w:t xml:space="preserve">.</w:t>
      </w:r>
    </w:p>
    <w:p>
      <w:pPr>
        <w:pStyle w:val="ListParagraph"/>
        <w:numPr>
          <w:ilvl w:val="0"/>
          <w:numId w:val="2"/>
        </w:numPr>
        <w:spacing w:after="60"/>
      </w:pPr>
      <w:r>
        <w:rPr>
          <w:rFonts w:ascii="Calibri" w:cs="Calibri" w:eastAsia="Calibri" w:hAnsi="Calibri"/>
          <w:sz w:val="21"/>
          <w:szCs w:val="21"/>
        </w:rPr>
        <w:t xml:space="preserve">Fichier utilisateurs, signataires habilités, codes analytiques validés et données de reprise : </w:t>
      </w:r>
      <w:r>
        <w:rPr>
          <w:rFonts w:ascii="Calibri" w:cs="Calibri" w:eastAsia="Calibri" w:hAnsi="Calibri"/>
          <w:b/>
          <w:bCs/>
          <w:sz w:val="21"/>
          <w:szCs w:val="21"/>
        </w:rPr>
        <w:t xml:space="preserve">avant S5</w:t>
      </w:r>
      <w:r>
        <w:rPr>
          <w:rFonts w:ascii="Calibri" w:cs="Calibri" w:eastAsia="Calibri" w:hAnsi="Calibri"/>
          <w:sz w:val="21"/>
          <w:szCs w:val="21"/>
        </w:rPr>
        <w:t xml:space="preserve"> (passage en réel).</w:t>
      </w:r>
    </w:p>
    <w:p>
      <w:pPr>
        <w:pStyle w:val="ListParagraph"/>
        <w:numPr>
          <w:ilvl w:val="0"/>
          <w:numId w:val="2"/>
        </w:numPr>
        <w:spacing w:after="60"/>
      </w:pPr>
      <w:r>
        <w:rPr>
          <w:rFonts w:ascii="Calibri" w:cs="Calibri" w:eastAsia="Calibri" w:hAnsi="Calibri"/>
          <w:sz w:val="21"/>
          <w:szCs w:val="21"/>
        </w:rPr>
        <w:t xml:space="preserve">Compte comptable des frais OM : </w:t>
      </w:r>
      <w:r>
        <w:rPr>
          <w:rFonts w:ascii="Calibri" w:cs="Calibri" w:eastAsia="Calibri" w:hAnsi="Calibri"/>
          <w:b/>
          <w:bCs/>
          <w:sz w:val="21"/>
          <w:szCs w:val="21"/>
        </w:rPr>
        <w:t xml:space="preserve">avant S4</w:t>
      </w:r>
      <w:r>
        <w:rPr>
          <w:rFonts w:ascii="Calibri" w:cs="Calibri" w:eastAsia="Calibri" w:hAnsi="Calibri"/>
          <w:sz w:val="21"/>
          <w:szCs w:val="21"/>
        </w:rPr>
        <w:t xml:space="preserve">.</w:t>
      </w:r>
    </w:p>
    <w:p>
      <w:pPr>
        <w:pStyle w:val="ListParagraph"/>
        <w:numPr>
          <w:ilvl w:val="0"/>
          <w:numId w:val="2"/>
        </w:numPr>
        <w:spacing w:after="60"/>
      </w:pPr>
      <w:r>
        <w:rPr>
          <w:rFonts w:ascii="Calibri" w:cs="Calibri" w:eastAsia="Calibri" w:hAnsi="Calibri"/>
          <w:sz w:val="21"/>
          <w:szCs w:val="21"/>
        </w:rPr>
        <w:t xml:space="preserve">Arbitrage du DAF sur PO-03 et PO-04 : </w:t>
      </w:r>
      <w:r>
        <w:rPr>
          <w:rFonts w:ascii="Calibri" w:cs="Calibri" w:eastAsia="Calibri" w:hAnsi="Calibri"/>
          <w:b/>
          <w:bCs/>
          <w:sz w:val="21"/>
          <w:szCs w:val="21"/>
        </w:rPr>
        <w:t xml:space="preserve">avant S6</w:t>
      </w:r>
      <w:r>
        <w:rPr>
          <w:rFonts w:ascii="Calibri" w:cs="Calibri" w:eastAsia="Calibri" w:hAnsi="Calibri"/>
          <w:sz w:val="21"/>
          <w:szCs w:val="21"/>
        </w:rPr>
        <w:t xml:space="preserve">.</w:t>
      </w:r>
    </w:p>
    <w:p>
      <w:pPr>
        <w:pStyle w:val="ListParagraph"/>
        <w:numPr>
          <w:ilvl w:val="0"/>
          <w:numId w:val="2"/>
        </w:numPr>
        <w:spacing w:after="60"/>
      </w:pPr>
      <w:r>
        <w:rPr>
          <w:rFonts w:ascii="Calibri" w:cs="Calibri" w:eastAsia="Calibri" w:hAnsi="Calibri"/>
          <w:sz w:val="21"/>
          <w:szCs w:val="21"/>
        </w:rPr>
        <w:t xml:space="preserve">Choix et test du moteur OCR sur les tickets reçus : </w:t>
      </w:r>
      <w:r>
        <w:rPr>
          <w:rFonts w:ascii="Calibri" w:cs="Calibri" w:eastAsia="Calibri" w:hAnsi="Calibri"/>
          <w:b/>
          <w:bCs/>
          <w:sz w:val="21"/>
          <w:szCs w:val="21"/>
        </w:rPr>
        <w:t xml:space="preserve">avant S7</w:t>
      </w:r>
      <w:r>
        <w:rPr>
          <w:rFonts w:ascii="Calibri" w:cs="Calibri" w:eastAsia="Calibri" w:hAnsi="Calibri"/>
          <w:sz w:val="21"/>
          <w:szCs w:val="21"/>
        </w:rPr>
        <w:t xml:space="preserve">.</w:t>
      </w:r>
    </w:p>
    <w:p>
      <w:pPr>
        <w:pStyle w:val="Heading1"/>
        <w:pageBreakBefore/>
      </w:pPr>
      <w:r>
        <w:t xml:space="preserve">Annexe A — Scénarios de test</w:t>
      </w:r>
    </w:p>
    <w:p>
      <w:pPr>
        <w:spacing w:after="100" w:before="0" w:line="276"/>
      </w:pPr>
      <w:r>
        <w:rPr>
          <w:rFonts w:ascii="Calibri" w:cs="Calibri" w:eastAsia="Calibri" w:hAnsi="Calibri"/>
          <w:sz w:val="21"/>
          <w:szCs w:val="21"/>
        </w:rPr>
        <w:t xml:space="preserve">Le détail de chaque scénario (préconditions, jeu de données, étapes, résultat attendu) est dans le cahier Excel.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6265"/>
        <w:gridCol w:w="2313"/>
      </w:tblGrid>
      <w:tr>
        <w:trPr>
          <w:tblHeader/>
        </w:trPr>
        <w:tc>
          <w:tcPr>
            <w:tcW w:type="dxa" w:w="1060"/>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ID</w:t>
            </w:r>
          </w:p>
        </w:tc>
        <w:tc>
          <w:tcPr>
            <w:tcW w:type="dxa" w:w="6265"/>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Scénario</w:t>
            </w:r>
          </w:p>
        </w:tc>
        <w:tc>
          <w:tcPr>
            <w:tcW w:type="dxa" w:w="2313"/>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Modules</w:t>
            </w:r>
          </w:p>
        </w:tc>
      </w:tr>
      <w:tr>
        <w:trPr>
          <w:cantSplit/>
        </w:trPr>
        <w:tc>
          <w:tcPr>
            <w:tcW w:type="dxa" w:w="1060"/>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SC-01</w:t>
            </w:r>
          </w:p>
        </w:tc>
        <w:tc>
          <w:tcPr>
            <w:tcW w:type="dxa" w:w="6265"/>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Bon définitif en espèces, sous 1,5 M</w:t>
            </w:r>
          </w:p>
        </w:tc>
        <w:tc>
          <w:tcPr>
            <w:tcW w:type="dxa" w:w="231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M03, M04, M06</w:t>
            </w:r>
          </w:p>
        </w:tc>
      </w:tr>
      <w:tr>
        <w:trPr>
          <w:cantSplit/>
        </w:trPr>
        <w:tc>
          <w:tcPr>
            <w:tcW w:type="dxa" w:w="1060"/>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SC-02</w:t>
            </w:r>
          </w:p>
        </w:tc>
        <w:tc>
          <w:tcPr>
            <w:tcW w:type="dxa" w:w="6265"/>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Bon définitif au-dessus de 1,5 M (visa DP)</w:t>
            </w:r>
          </w:p>
        </w:tc>
        <w:tc>
          <w:tcPr>
            <w:tcW w:type="dxa" w:w="231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M03, M04</w:t>
            </w:r>
          </w:p>
        </w:tc>
      </w:tr>
      <w:tr>
        <w:trPr>
          <w:cantSplit/>
        </w:trPr>
        <w:tc>
          <w:tcPr>
            <w:tcW w:type="dxa" w:w="1060"/>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SC-03</w:t>
            </w:r>
          </w:p>
        </w:tc>
        <w:tc>
          <w:tcPr>
            <w:tcW w:type="dxa" w:w="6265"/>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Montant au-dessus du plafond de retrait du site</w:t>
            </w:r>
          </w:p>
        </w:tc>
        <w:tc>
          <w:tcPr>
            <w:tcW w:type="dxa" w:w="231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M03, M06</w:t>
            </w:r>
          </w:p>
        </w:tc>
      </w:tr>
      <w:tr>
        <w:trPr>
          <w:cantSplit/>
        </w:trPr>
        <w:tc>
          <w:tcPr>
            <w:tcW w:type="dxa" w:w="1060"/>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SC-04</w:t>
            </w:r>
          </w:p>
        </w:tc>
        <w:tc>
          <w:tcPr>
            <w:tcW w:type="dxa" w:w="6265"/>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Paiement par Orange Money décidé par le caissier (frais par paliers)</w:t>
            </w:r>
          </w:p>
        </w:tc>
        <w:tc>
          <w:tcPr>
            <w:tcW w:type="dxa" w:w="231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M03, M06</w:t>
            </w:r>
          </w:p>
        </w:tc>
      </w:tr>
      <w:tr>
        <w:trPr>
          <w:cantSplit/>
        </w:trPr>
        <w:tc>
          <w:tcPr>
            <w:tcW w:type="dxa" w:w="1060"/>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SC-05</w:t>
            </w:r>
          </w:p>
        </w:tc>
        <w:tc>
          <w:tcPr>
            <w:tcW w:type="dxa" w:w="6265"/>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Émission d'un bon provisoire (salarié, puis visiteur du groupe)</w:t>
            </w:r>
          </w:p>
        </w:tc>
        <w:tc>
          <w:tcPr>
            <w:tcW w:type="dxa" w:w="231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M03, M07</w:t>
            </w:r>
          </w:p>
        </w:tc>
      </w:tr>
      <w:tr>
        <w:trPr>
          <w:cantSplit/>
        </w:trPr>
        <w:tc>
          <w:tcPr>
            <w:tcW w:type="dxa" w:w="1060"/>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SC-06</w:t>
            </w:r>
          </w:p>
        </w:tc>
        <w:tc>
          <w:tcPr>
            <w:tcW w:type="dxa" w:w="6265"/>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Régularisation d'un BP : dépense = avance</w:t>
            </w:r>
          </w:p>
        </w:tc>
        <w:tc>
          <w:tcPr>
            <w:tcW w:type="dxa" w:w="231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M07</w:t>
            </w:r>
          </w:p>
        </w:tc>
      </w:tr>
      <w:tr>
        <w:trPr>
          <w:cantSplit/>
        </w:trPr>
        <w:tc>
          <w:tcPr>
            <w:tcW w:type="dxa" w:w="1060"/>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SC-07</w:t>
            </w:r>
          </w:p>
        </w:tc>
        <w:tc>
          <w:tcPr>
            <w:tcW w:type="dxa" w:w="6265"/>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Régularisation d'un BP : reversement</w:t>
            </w:r>
          </w:p>
        </w:tc>
        <w:tc>
          <w:tcPr>
            <w:tcW w:type="dxa" w:w="231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M07, M08</w:t>
            </w:r>
          </w:p>
        </w:tc>
      </w:tr>
      <w:tr>
        <w:trPr>
          <w:cantSplit/>
        </w:trPr>
        <w:tc>
          <w:tcPr>
            <w:tcW w:type="dxa" w:w="1060"/>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SC-08</w:t>
            </w:r>
          </w:p>
        </w:tc>
        <w:tc>
          <w:tcPr>
            <w:tcW w:type="dxa" w:w="6265"/>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Régularisation d'un BP : complément</w:t>
            </w:r>
          </w:p>
        </w:tc>
        <w:tc>
          <w:tcPr>
            <w:tcW w:type="dxa" w:w="231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M07</w:t>
            </w:r>
          </w:p>
        </w:tc>
      </w:tr>
      <w:tr>
        <w:trPr>
          <w:cantSplit/>
        </w:trPr>
        <w:tc>
          <w:tcPr>
            <w:tcW w:type="dxa" w:w="1060"/>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SC-09</w:t>
            </w:r>
          </w:p>
        </w:tc>
        <w:tc>
          <w:tcPr>
            <w:tcW w:type="dxa" w:w="6265"/>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BP non régularisé : relances, retenue, rapport DP, blocage</w:t>
            </w:r>
          </w:p>
        </w:tc>
        <w:tc>
          <w:tcPr>
            <w:tcW w:type="dxa" w:w="231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M07, M11</w:t>
            </w:r>
          </w:p>
        </w:tc>
      </w:tr>
      <w:tr>
        <w:trPr>
          <w:cantSplit/>
        </w:trPr>
        <w:tc>
          <w:tcPr>
            <w:tcW w:type="dxa" w:w="1060"/>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SC-10</w:t>
            </w:r>
          </w:p>
        </w:tc>
        <w:tc>
          <w:tcPr>
            <w:tcW w:type="dxa" w:w="6265"/>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Rejet, correction et nouvelle soumission</w:t>
            </w:r>
          </w:p>
        </w:tc>
        <w:tc>
          <w:tcPr>
            <w:tcW w:type="dxa" w:w="231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M03, M04</w:t>
            </w:r>
          </w:p>
        </w:tc>
      </w:tr>
      <w:tr>
        <w:trPr>
          <w:cantSplit/>
        </w:trPr>
        <w:tc>
          <w:tcPr>
            <w:tcW w:type="dxa" w:w="1060"/>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SC-11</w:t>
            </w:r>
          </w:p>
        </w:tc>
        <w:tc>
          <w:tcPr>
            <w:tcW w:type="dxa" w:w="6265"/>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Annulation d'un bon</w:t>
            </w:r>
          </w:p>
        </w:tc>
        <w:tc>
          <w:tcPr>
            <w:tcW w:type="dxa" w:w="231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M04</w:t>
            </w:r>
          </w:p>
        </w:tc>
      </w:tr>
      <w:tr>
        <w:trPr>
          <w:cantSplit/>
        </w:trPr>
        <w:tc>
          <w:tcPr>
            <w:tcW w:type="dxa" w:w="1060"/>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SC-12</w:t>
            </w:r>
          </w:p>
        </w:tc>
        <w:tc>
          <w:tcPr>
            <w:tcW w:type="dxa" w:w="6265"/>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Validation par un suppléant ; absence du DP et du DP adjoint</w:t>
            </w:r>
          </w:p>
        </w:tc>
        <w:tc>
          <w:tcPr>
            <w:tcW w:type="dxa" w:w="231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M05</w:t>
            </w:r>
          </w:p>
        </w:tc>
      </w:tr>
      <w:tr>
        <w:trPr>
          <w:cantSplit/>
        </w:trPr>
        <w:tc>
          <w:tcPr>
            <w:tcW w:type="dxa" w:w="1060"/>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SC-13</w:t>
            </w:r>
          </w:p>
        </w:tc>
        <w:tc>
          <w:tcPr>
            <w:tcW w:type="dxa" w:w="6265"/>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Délai dépassé : relance et escalade</w:t>
            </w:r>
          </w:p>
        </w:tc>
        <w:tc>
          <w:tcPr>
            <w:tcW w:type="dxa" w:w="231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M11</w:t>
            </w:r>
          </w:p>
        </w:tc>
      </w:tr>
      <w:tr>
        <w:trPr>
          <w:cantSplit/>
        </w:trPr>
        <w:tc>
          <w:tcPr>
            <w:tcW w:type="dxa" w:w="1060"/>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SC-14</w:t>
            </w:r>
          </w:p>
        </w:tc>
        <w:tc>
          <w:tcPr>
            <w:tcW w:type="dxa" w:w="6265"/>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Décaissement, dont solde insuffisant</w:t>
            </w:r>
          </w:p>
        </w:tc>
        <w:tc>
          <w:tcPr>
            <w:tcW w:type="dxa" w:w="231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M06</w:t>
            </w:r>
          </w:p>
        </w:tc>
      </w:tr>
      <w:tr>
        <w:trPr>
          <w:cantSplit/>
        </w:trPr>
        <w:tc>
          <w:tcPr>
            <w:tcW w:type="dxa" w:w="1060"/>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SC-15</w:t>
            </w:r>
          </w:p>
        </w:tc>
        <w:tc>
          <w:tcPr>
            <w:tcW w:type="dxa" w:w="6265"/>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Encaissement client (Conakry)</w:t>
            </w:r>
          </w:p>
        </w:tc>
        <w:tc>
          <w:tcPr>
            <w:tcW w:type="dxa" w:w="231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M08</w:t>
            </w:r>
          </w:p>
        </w:tc>
      </w:tr>
      <w:tr>
        <w:trPr>
          <w:cantSplit/>
        </w:trPr>
        <w:tc>
          <w:tcPr>
            <w:tcW w:type="dxa" w:w="1060"/>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SC-16</w:t>
            </w:r>
          </w:p>
        </w:tc>
        <w:tc>
          <w:tcPr>
            <w:tcW w:type="dxa" w:w="6265"/>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Réapprovisionnement d'une caisse (banque ou OM, visa DP)</w:t>
            </w:r>
          </w:p>
        </w:tc>
        <w:tc>
          <w:tcPr>
            <w:tcW w:type="dxa" w:w="231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M08</w:t>
            </w:r>
          </w:p>
        </w:tc>
      </w:tr>
      <w:tr>
        <w:trPr>
          <w:cantSplit/>
        </w:trPr>
        <w:tc>
          <w:tcPr>
            <w:tcW w:type="dxa" w:w="1060"/>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SC-17</w:t>
            </w:r>
          </w:p>
        </w:tc>
        <w:tc>
          <w:tcPr>
            <w:tcW w:type="dxa" w:w="6265"/>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Réapprovisionnement de la caisse Atelier (avance fixe)</w:t>
            </w:r>
          </w:p>
        </w:tc>
        <w:tc>
          <w:tcPr>
            <w:tcW w:type="dxa" w:w="231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M08</w:t>
            </w:r>
          </w:p>
        </w:tc>
      </w:tr>
      <w:tr>
        <w:trPr>
          <w:cantSplit/>
        </w:trPr>
        <w:tc>
          <w:tcPr>
            <w:tcW w:type="dxa" w:w="1060"/>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SC-18</w:t>
            </w:r>
          </w:p>
        </w:tc>
        <w:tc>
          <w:tcPr>
            <w:tcW w:type="dxa" w:w="6265"/>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Clôture journalière et rapport journalier</w:t>
            </w:r>
          </w:p>
        </w:tc>
        <w:tc>
          <w:tcPr>
            <w:tcW w:type="dxa" w:w="231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M09</w:t>
            </w:r>
          </w:p>
        </w:tc>
      </w:tr>
      <w:tr>
        <w:trPr>
          <w:cantSplit/>
        </w:trPr>
        <w:tc>
          <w:tcPr>
            <w:tcW w:type="dxa" w:w="1060"/>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SC-19</w:t>
            </w:r>
          </w:p>
        </w:tc>
        <w:tc>
          <w:tcPr>
            <w:tcW w:type="dxa" w:w="6265"/>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Inventaire mensuel et contrôle inopiné</w:t>
            </w:r>
          </w:p>
        </w:tc>
        <w:tc>
          <w:tcPr>
            <w:tcW w:type="dxa" w:w="231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M10</w:t>
            </w:r>
          </w:p>
        </w:tc>
      </w:tr>
      <w:tr>
        <w:trPr>
          <w:cantSplit/>
        </w:trPr>
        <w:tc>
          <w:tcPr>
            <w:tcW w:type="dxa" w:w="1060"/>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SC-20</w:t>
            </w:r>
          </w:p>
        </w:tc>
        <w:tc>
          <w:tcPr>
            <w:tcW w:type="dxa" w:w="6265"/>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ODM intérieur, une personne</w:t>
            </w:r>
          </w:p>
        </w:tc>
        <w:tc>
          <w:tcPr>
            <w:tcW w:type="dxa" w:w="231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M12</w:t>
            </w:r>
          </w:p>
        </w:tc>
      </w:tr>
      <w:tr>
        <w:trPr>
          <w:cantSplit/>
        </w:trPr>
        <w:tc>
          <w:tcPr>
            <w:tcW w:type="dxa" w:w="1060"/>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SC-21</w:t>
            </w:r>
          </w:p>
        </w:tc>
        <w:tc>
          <w:tcPr>
            <w:tcW w:type="dxa" w:w="6265"/>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ODM à plusieurs personnes</w:t>
            </w:r>
          </w:p>
        </w:tc>
        <w:tc>
          <w:tcPr>
            <w:tcW w:type="dxa" w:w="231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M12</w:t>
            </w:r>
          </w:p>
        </w:tc>
      </w:tr>
      <w:tr>
        <w:trPr>
          <w:cantSplit/>
        </w:trPr>
        <w:tc>
          <w:tcPr>
            <w:tcW w:type="dxa" w:w="1060"/>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SC-22</w:t>
            </w:r>
          </w:p>
        </w:tc>
        <w:tc>
          <w:tcPr>
            <w:tcW w:type="dxa" w:w="6265"/>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ODM technique avec OR liés</w:t>
            </w:r>
          </w:p>
        </w:tc>
        <w:tc>
          <w:tcPr>
            <w:tcW w:type="dxa" w:w="231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M12</w:t>
            </w:r>
          </w:p>
        </w:tc>
      </w:tr>
      <w:tr>
        <w:trPr>
          <w:cantSplit/>
        </w:trPr>
        <w:tc>
          <w:tcPr>
            <w:tcW w:type="dxa" w:w="1060"/>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SC-23</w:t>
            </w:r>
          </w:p>
        </w:tc>
        <w:tc>
          <w:tcPr>
            <w:tcW w:type="dxa" w:w="6265"/>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Génération des bons depuis l'ODM (individuel / groupé)</w:t>
            </w:r>
          </w:p>
        </w:tc>
        <w:tc>
          <w:tcPr>
            <w:tcW w:type="dxa" w:w="231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M12, M03</w:t>
            </w:r>
          </w:p>
        </w:tc>
      </w:tr>
      <w:tr>
        <w:trPr>
          <w:cantSplit/>
        </w:trPr>
        <w:tc>
          <w:tcPr>
            <w:tcW w:type="dxa" w:w="1060"/>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SC-24</w:t>
            </w:r>
          </w:p>
        </w:tc>
        <w:tc>
          <w:tcPr>
            <w:tcW w:type="dxa" w:w="6265"/>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Prolongation d'une mission longue (nuit de rattrapage)</w:t>
            </w:r>
          </w:p>
        </w:tc>
        <w:tc>
          <w:tcPr>
            <w:tcW w:type="dxa" w:w="231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M12</w:t>
            </w:r>
          </w:p>
        </w:tc>
      </w:tr>
      <w:tr>
        <w:trPr>
          <w:cantSplit/>
        </w:trPr>
        <w:tc>
          <w:tcPr>
            <w:tcW w:type="dxa" w:w="1060"/>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SC-25</w:t>
            </w:r>
          </w:p>
        </w:tc>
        <w:tc>
          <w:tcPr>
            <w:tcW w:type="dxa" w:w="6265"/>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Ajustement au réel et clôture</w:t>
            </w:r>
          </w:p>
        </w:tc>
        <w:tc>
          <w:tcPr>
            <w:tcW w:type="dxa" w:w="231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M12, M07</w:t>
            </w:r>
          </w:p>
        </w:tc>
      </w:tr>
      <w:tr>
        <w:trPr>
          <w:cantSplit/>
        </w:trPr>
        <w:tc>
          <w:tcPr>
            <w:tcW w:type="dxa" w:w="1060"/>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SC-26</w:t>
            </w:r>
          </w:p>
        </w:tc>
        <w:tc>
          <w:tcPr>
            <w:tcW w:type="dxa" w:w="6265"/>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Chevauchement de périodes (anti-doublon)</w:t>
            </w:r>
          </w:p>
        </w:tc>
        <w:tc>
          <w:tcPr>
            <w:tcW w:type="dxa" w:w="231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M12</w:t>
            </w:r>
          </w:p>
        </w:tc>
      </w:tr>
      <w:tr>
        <w:trPr>
          <w:cantSplit/>
        </w:trPr>
        <w:tc>
          <w:tcPr>
            <w:tcW w:type="dxa" w:w="1060"/>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SC-27</w:t>
            </w:r>
          </w:p>
        </w:tc>
        <w:tc>
          <w:tcPr>
            <w:tcW w:type="dxa" w:w="6265"/>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Mission sur base vie</w:t>
            </w:r>
          </w:p>
        </w:tc>
        <w:tc>
          <w:tcPr>
            <w:tcW w:type="dxa" w:w="231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M12</w:t>
            </w:r>
          </w:p>
        </w:tc>
      </w:tr>
      <w:tr>
        <w:trPr>
          <w:cantSplit/>
        </w:trPr>
        <w:tc>
          <w:tcPr>
            <w:tcW w:type="dxa" w:w="1060"/>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SC-28</w:t>
            </w:r>
          </w:p>
        </w:tc>
        <w:tc>
          <w:tcPr>
            <w:tcW w:type="dxa" w:w="6265"/>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ODM à la charge du client</w:t>
            </w:r>
          </w:p>
        </w:tc>
        <w:tc>
          <w:tcPr>
            <w:tcW w:type="dxa" w:w="231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M12, M14</w:t>
            </w:r>
          </w:p>
        </w:tc>
      </w:tr>
      <w:tr>
        <w:trPr>
          <w:cantSplit/>
        </w:trPr>
        <w:tc>
          <w:tcPr>
            <w:tcW w:type="dxa" w:w="1060"/>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SC-29</w:t>
            </w:r>
          </w:p>
        </w:tc>
        <w:tc>
          <w:tcPr>
            <w:tcW w:type="dxa" w:w="6265"/>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ODM extérieur</w:t>
            </w:r>
          </w:p>
        </w:tc>
        <w:tc>
          <w:tcPr>
            <w:tcW w:type="dxa" w:w="231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M12</w:t>
            </w:r>
          </w:p>
        </w:tc>
      </w:tr>
      <w:tr>
        <w:trPr>
          <w:cantSplit/>
        </w:trPr>
        <w:tc>
          <w:tcPr>
            <w:tcW w:type="dxa" w:w="1060"/>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SC-30</w:t>
            </w:r>
          </w:p>
        </w:tc>
        <w:tc>
          <w:tcPr>
            <w:tcW w:type="dxa" w:w="6265"/>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Avance carburant de mission</w:t>
            </w:r>
          </w:p>
        </w:tc>
        <w:tc>
          <w:tcPr>
            <w:tcW w:type="dxa" w:w="231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M13</w:t>
            </w:r>
          </w:p>
        </w:tc>
      </w:tr>
      <w:tr>
        <w:trPr>
          <w:cantSplit/>
        </w:trPr>
        <w:tc>
          <w:tcPr>
            <w:tcW w:type="dxa" w:w="1060"/>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SC-31</w:t>
            </w:r>
          </w:p>
        </w:tc>
        <w:tc>
          <w:tcPr>
            <w:tcW w:type="dxa" w:w="6265"/>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Saisie d'un ticket par OCR assistée</w:t>
            </w:r>
          </w:p>
        </w:tc>
        <w:tc>
          <w:tcPr>
            <w:tcW w:type="dxa" w:w="231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M13</w:t>
            </w:r>
          </w:p>
        </w:tc>
      </w:tr>
      <w:tr>
        <w:trPr>
          <w:cantSplit/>
        </w:trPr>
        <w:tc>
          <w:tcPr>
            <w:tcW w:type="dxa" w:w="1060"/>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SC-32</w:t>
            </w:r>
          </w:p>
        </w:tc>
        <w:tc>
          <w:tcPr>
            <w:tcW w:type="dxa" w:w="6265"/>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Régularisation carburant</w:t>
            </w:r>
          </w:p>
        </w:tc>
        <w:tc>
          <w:tcPr>
            <w:tcW w:type="dxa" w:w="231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M13</w:t>
            </w:r>
          </w:p>
        </w:tc>
      </w:tr>
      <w:tr>
        <w:trPr>
          <w:cantSplit/>
        </w:trPr>
        <w:tc>
          <w:tcPr>
            <w:tcW w:type="dxa" w:w="1060"/>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SC-33</w:t>
            </w:r>
          </w:p>
        </w:tc>
        <w:tc>
          <w:tcPr>
            <w:tcW w:type="dxa" w:w="6265"/>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Isolation des caisses et correspondances de sites</w:t>
            </w:r>
          </w:p>
        </w:tc>
        <w:tc>
          <w:tcPr>
            <w:tcW w:type="dxa" w:w="231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M01, M02, M08</w:t>
            </w:r>
          </w:p>
        </w:tc>
      </w:tr>
      <w:tr>
        <w:trPr>
          <w:cantSplit/>
        </w:trPr>
        <w:tc>
          <w:tcPr>
            <w:tcW w:type="dxa" w:w="1060"/>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SC-34</w:t>
            </w:r>
          </w:p>
        </w:tc>
        <w:tc>
          <w:tcPr>
            <w:tcW w:type="dxa" w:w="6265"/>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Imputation comptable et export comptable</w:t>
            </w:r>
          </w:p>
        </w:tc>
        <w:tc>
          <w:tcPr>
            <w:tcW w:type="dxa" w:w="231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M16</w:t>
            </w:r>
          </w:p>
        </w:tc>
      </w:tr>
      <w:tr>
        <w:trPr>
          <w:cantSplit/>
        </w:trPr>
        <w:tc>
          <w:tcPr>
            <w:tcW w:type="dxa" w:w="1060"/>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SC-35</w:t>
            </w:r>
          </w:p>
        </w:tc>
        <w:tc>
          <w:tcPr>
            <w:tcW w:type="dxa" w:w="6265"/>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Réconciliation hebdomadaire de la caisse Orange Money</w:t>
            </w:r>
          </w:p>
        </w:tc>
        <w:tc>
          <w:tcPr>
            <w:tcW w:type="dxa" w:w="231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M08</w:t>
            </w:r>
          </w:p>
        </w:tc>
      </w:tr>
      <w:tr>
        <w:trPr>
          <w:cantSplit/>
        </w:trPr>
        <w:tc>
          <w:tcPr>
            <w:tcW w:type="dxa" w:w="1060"/>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SC-36</w:t>
            </w:r>
          </w:p>
        </w:tc>
        <w:tc>
          <w:tcPr>
            <w:tcW w:type="dxa" w:w="6265"/>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Saisie hors ligne et synchronisation</w:t>
            </w:r>
          </w:p>
        </w:tc>
        <w:tc>
          <w:tcPr>
            <w:tcW w:type="dxa" w:w="231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M01, M03, M13</w:t>
            </w:r>
          </w:p>
        </w:tc>
      </w:tr>
      <w:tr>
        <w:trPr>
          <w:cantSplit/>
        </w:trPr>
        <w:tc>
          <w:tcPr>
            <w:tcW w:type="dxa" w:w="1060"/>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SC-37</w:t>
            </w:r>
          </w:p>
        </w:tc>
        <w:tc>
          <w:tcPr>
            <w:tcW w:type="dxa" w:w="6265"/>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ODM générant un BP (avance pour frais réels)</w:t>
            </w:r>
          </w:p>
        </w:tc>
        <w:tc>
          <w:tcPr>
            <w:tcW w:type="dxa" w:w="231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M12, M07</w:t>
            </w:r>
          </w:p>
        </w:tc>
      </w:tr>
    </w:tbl>
    <w:p>
      <w:pPr>
        <w:spacing w:after="100"/>
      </w:pPr>
    </w:p>
    <w:p>
      <w:pPr>
        <w:pStyle w:val="Heading1"/>
        <w:pageBreakBefore/>
      </w:pPr>
      <w:r>
        <w:t xml:space="preserve">Annexe B — Exemples de calcul ODM</w:t>
      </w:r>
    </w:p>
    <w:p>
      <w:pPr>
        <w:pStyle w:val="Heading2"/>
      </w:pPr>
      <w:r>
        <w:t xml:space="preserve">B.1 ODM intérieur, une personne</w:t>
      </w:r>
    </w:p>
    <w:p>
      <w:pPr>
        <w:spacing w:after="100" w:before="0" w:line="276"/>
      </w:pPr>
      <w:r>
        <w:rPr>
          <w:rFonts w:ascii="Calibri" w:cs="Calibri" w:eastAsia="Calibri" w:hAnsi="Calibri"/>
          <w:sz w:val="21"/>
          <w:szCs w:val="21"/>
        </w:rPr>
        <w:t xml:space="preserve">Conakry → Kouroussa, du 22/09 au 26/09, non logé sur base vie, paiement Orange Money.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3855"/>
        <w:gridCol w:w="2506"/>
      </w:tblGrid>
      <w:tr>
        <w:trPr>
          <w:tblHeader/>
        </w:trPr>
        <w:tc>
          <w:tcPr>
            <w:tcW w:type="dxa" w:w="3277"/>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Poste</w:t>
            </w:r>
          </w:p>
        </w:tc>
        <w:tc>
          <w:tcPr>
            <w:tcW w:type="dxa" w:w="3855"/>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Calcul</w:t>
            </w:r>
          </w:p>
        </w:tc>
        <w:tc>
          <w:tcPr>
            <w:tcW w:type="dxa" w:w="2506"/>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Montant (GNF)</w:t>
            </w:r>
          </w:p>
        </w:tc>
      </w:tr>
      <w:tr>
        <w:trPr>
          <w:cantSplit/>
        </w:trPr>
        <w:tc>
          <w:tcPr>
            <w:tcW w:type="dxa" w:w="3277"/>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Jours</w:t>
            </w:r>
          </w:p>
        </w:tc>
        <w:tc>
          <w:tcPr>
            <w:tcW w:type="dxa" w:w="3855"/>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26/09 − 22/09 + 1</w:t>
            </w:r>
          </w:p>
        </w:tc>
        <w:tc>
          <w:tcPr>
            <w:tcW w:type="dxa" w:w="2506"/>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5</w:t>
            </w:r>
          </w:p>
        </w:tc>
      </w:tr>
      <w:tr>
        <w:trPr>
          <w:cantSplit/>
        </w:trPr>
        <w:tc>
          <w:tcPr>
            <w:tcW w:type="dxa" w:w="3277"/>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Nuits</w:t>
            </w:r>
          </w:p>
        </w:tc>
        <w:tc>
          <w:tcPr>
            <w:tcW w:type="dxa" w:w="3855"/>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5 − 1</w:t>
            </w:r>
          </w:p>
        </w:tc>
        <w:tc>
          <w:tcPr>
            <w:tcW w:type="dxa" w:w="2506"/>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4</w:t>
            </w:r>
          </w:p>
        </w:tc>
      </w:tr>
      <w:tr>
        <w:trPr>
          <w:cantSplit/>
        </w:trPr>
        <w:tc>
          <w:tcPr>
            <w:tcW w:type="dxa" w:w="3277"/>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Indemnité (2 × 125 000)</w:t>
            </w:r>
          </w:p>
        </w:tc>
        <w:tc>
          <w:tcPr>
            <w:tcW w:type="dxa" w:w="3855"/>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5 × 250 000</w:t>
            </w:r>
          </w:p>
        </w:tc>
        <w:tc>
          <w:tcPr>
            <w:tcW w:type="dxa" w:w="2506"/>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1 250 000</w:t>
            </w:r>
          </w:p>
        </w:tc>
      </w:tr>
      <w:tr>
        <w:trPr>
          <w:cantSplit/>
        </w:trPr>
        <w:tc>
          <w:tcPr>
            <w:tcW w:type="dxa" w:w="3277"/>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Hébergement</w:t>
            </w:r>
          </w:p>
        </w:tc>
        <w:tc>
          <w:tcPr>
            <w:tcW w:type="dxa" w:w="3855"/>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4 × 500 000</w:t>
            </w:r>
          </w:p>
        </w:tc>
        <w:tc>
          <w:tcPr>
            <w:tcW w:type="dxa" w:w="2506"/>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2 000 000</w:t>
            </w:r>
          </w:p>
        </w:tc>
      </w:tr>
      <w:tr>
        <w:trPr>
          <w:cantSplit/>
        </w:trPr>
        <w:tc>
          <w:tcPr>
            <w:tcW w:type="dxa" w:w="3277"/>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Total</w:t>
            </w:r>
          </w:p>
        </w:tc>
        <w:tc>
          <w:tcPr>
            <w:tcW w:type="dxa" w:w="3855"/>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p>
        </w:tc>
        <w:tc>
          <w:tcPr>
            <w:tcW w:type="dxa" w:w="2506"/>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3 250 000</w:t>
            </w:r>
          </w:p>
        </w:tc>
      </w:tr>
      <w:tr>
        <w:trPr>
          <w:cantSplit/>
        </w:trPr>
        <w:tc>
          <w:tcPr>
            <w:tcW w:type="dxa" w:w="3277"/>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Frais OM</w:t>
            </w:r>
          </w:p>
        </w:tc>
        <w:tc>
          <w:tcPr>
            <w:tcW w:type="dxa" w:w="3855"/>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1 % (palier 100 001 – 5 000 000)</w:t>
            </w:r>
          </w:p>
        </w:tc>
        <w:tc>
          <w:tcPr>
            <w:tcW w:type="dxa" w:w="2506"/>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32 500</w:t>
            </w:r>
          </w:p>
        </w:tc>
      </w:tr>
      <w:tr>
        <w:trPr>
          <w:cantSplit/>
        </w:trPr>
        <w:tc>
          <w:tcPr>
            <w:tcW w:type="dxa" w:w="3277"/>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Montant versé</w:t>
            </w:r>
          </w:p>
        </w:tc>
        <w:tc>
          <w:tcPr>
            <w:tcW w:type="dxa" w:w="3855"/>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p>
        </w:tc>
        <w:tc>
          <w:tcPr>
            <w:tcW w:type="dxa" w:w="2506"/>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3 282 500</w:t>
            </w:r>
          </w:p>
        </w:tc>
      </w:tr>
    </w:tbl>
    <w:p>
      <w:pPr>
        <w:spacing w:after="100"/>
      </w:pPr>
    </w:p>
    <w:p>
      <w:pPr>
        <w:spacing w:after="100" w:before="0" w:line="276"/>
      </w:pPr>
      <w:r>
        <w:rPr>
          <w:rFonts w:ascii="Calibri" w:cs="Calibri" w:eastAsia="Calibri" w:hAnsi="Calibri"/>
          <w:sz w:val="21"/>
          <w:szCs w:val="21"/>
        </w:rPr>
        <w:t xml:space="preserve">La dépense (3 250 000 GNF, hors frais) dépasse 1 500 000 GNF : visa du DP sur le bon, en plus du visa DP sur l'ODM. Les frais OM ne s'appliquent que si le caissier retient Orange Money.</w:t>
      </w:r>
    </w:p>
    <w:p>
      <w:pPr>
        <w:pStyle w:val="Heading2"/>
      </w:pPr>
      <w:r>
        <w:t xml:space="preserve">B.2 Deux participants, même mission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4433"/>
        <w:gridCol w:w="2314"/>
      </w:tblGrid>
      <w:tr>
        <w:trPr>
          <w:tblHeader/>
        </w:trPr>
        <w:tc>
          <w:tcPr>
            <w:tcW w:type="dxa" w:w="2891"/>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Mode de génération</w:t>
            </w:r>
          </w:p>
        </w:tc>
        <w:tc>
          <w:tcPr>
            <w:tcW w:type="dxa" w:w="4433"/>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Calcul</w:t>
            </w:r>
          </w:p>
        </w:tc>
        <w:tc>
          <w:tcPr>
            <w:tcW w:type="dxa" w:w="2314"/>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Montant versé (GNF)</w:t>
            </w:r>
          </w:p>
        </w:tc>
      </w:tr>
      <w:tr>
        <w:trPr>
          <w:cantSplit/>
        </w:trPr>
        <w:tc>
          <w:tcPr>
            <w:tcW w:type="dxa" w:w="2891"/>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Un bon par participant (défaut)</w:t>
            </w:r>
          </w:p>
        </w:tc>
        <w:tc>
          <w:tcPr>
            <w:tcW w:type="dxa" w:w="4433"/>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2 × (3 250 000 + 32 500)</w:t>
            </w:r>
          </w:p>
        </w:tc>
        <w:tc>
          <w:tcPr>
            <w:tcW w:type="dxa" w:w="2314"/>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6 565 000</w:t>
            </w:r>
          </w:p>
        </w:tc>
      </w:tr>
      <w:tr>
        <w:trPr>
          <w:cantSplit/>
        </w:trPr>
        <w:tc>
          <w:tcPr>
            <w:tcW w:type="dxa" w:w="2891"/>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Un bon groupé</w:t>
            </w:r>
          </w:p>
        </w:tc>
        <w:tc>
          <w:tcPr>
            <w:tcW w:type="dxa" w:w="4433"/>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6 500 000 + 0,8 % (palier 5 000 001 – 15 000 000) = 6 500 000 + 52 000</w:t>
            </w:r>
          </w:p>
        </w:tc>
        <w:tc>
          <w:tcPr>
            <w:tcW w:type="dxa" w:w="2314"/>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6 552 000</w:t>
            </w:r>
          </w:p>
        </w:tc>
      </w:tr>
    </w:tbl>
    <w:p>
      <w:pPr>
        <w:spacing w:after="100"/>
      </w:pPr>
    </w:p>
    <w:p>
      <w:pPr>
        <w:spacing w:after="120"/>
      </w:pPr>
      <w:r>
        <w:rPr>
          <w:rFonts w:ascii="Calibri" w:cs="Calibri" w:eastAsia="Calibri" w:hAnsi="Calibri"/>
          <w:i/>
          <w:iCs/>
          <w:color w:val="555555"/>
          <w:sz w:val="19"/>
          <w:szCs w:val="19"/>
        </w:rPr>
        <w:t xml:space="preserve">Le mode groupé coûte 13 000 GNF de frais en moins, mais verse tout sur le compte d'une seule personne : c'est l'enjeu d'audit soumis au DAF (PO-03).</w:t>
      </w:r>
    </w:p>
    <w:p>
      <w:pPr>
        <w:pStyle w:val="Heading2"/>
      </w:pPr>
      <w:r>
        <w:t xml:space="preserve">B.3 Prolongation</w:t>
      </w:r>
    </w:p>
    <w:p>
      <w:pPr>
        <w:spacing w:after="100" w:before="0" w:line="276"/>
      </w:pPr>
      <w:r>
        <w:rPr>
          <w:rFonts w:ascii="Calibri" w:cs="Calibri" w:eastAsia="Calibri" w:hAnsi="Calibri"/>
          <w:sz w:val="21"/>
          <w:szCs w:val="21"/>
        </w:rPr>
        <w:t xml:space="preserve">Segment 1 : du 22/09 au 26/09 (exemple B.1). Prolongation : du 27/09 au 03/10.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3855"/>
        <w:gridCol w:w="2506"/>
      </w:tblGrid>
      <w:tr>
        <w:trPr>
          <w:tblHeader/>
        </w:trPr>
        <w:tc>
          <w:tcPr>
            <w:tcW w:type="dxa" w:w="3277"/>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Poste</w:t>
            </w:r>
          </w:p>
        </w:tc>
        <w:tc>
          <w:tcPr>
            <w:tcW w:type="dxa" w:w="3855"/>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Calcul</w:t>
            </w:r>
          </w:p>
        </w:tc>
        <w:tc>
          <w:tcPr>
            <w:tcW w:type="dxa" w:w="2506"/>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Montant (GNF)</w:t>
            </w:r>
          </w:p>
        </w:tc>
      </w:tr>
      <w:tr>
        <w:trPr>
          <w:cantSplit/>
        </w:trPr>
        <w:tc>
          <w:tcPr>
            <w:tcW w:type="dxa" w:w="3277"/>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Jours</w:t>
            </w:r>
          </w:p>
        </w:tc>
        <w:tc>
          <w:tcPr>
            <w:tcW w:type="dxa" w:w="3855"/>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03/10 − 27/09 + 1</w:t>
            </w:r>
          </w:p>
        </w:tc>
        <w:tc>
          <w:tcPr>
            <w:tcW w:type="dxa" w:w="2506"/>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7</w:t>
            </w:r>
          </w:p>
        </w:tc>
      </w:tr>
      <w:tr>
        <w:trPr>
          <w:cantSplit/>
        </w:trPr>
        <w:tc>
          <w:tcPr>
            <w:tcW w:type="dxa" w:w="3277"/>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Nuits du segment</w:t>
            </w:r>
          </w:p>
        </w:tc>
        <w:tc>
          <w:tcPr>
            <w:tcW w:type="dxa" w:w="3855"/>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7 − 1</w:t>
            </w:r>
          </w:p>
        </w:tc>
        <w:tc>
          <w:tcPr>
            <w:tcW w:type="dxa" w:w="2506"/>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6</w:t>
            </w:r>
          </w:p>
        </w:tc>
      </w:tr>
      <w:tr>
        <w:trPr>
          <w:cantSplit/>
        </w:trPr>
        <w:tc>
          <w:tcPr>
            <w:tcW w:type="dxa" w:w="3277"/>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Nuitée de rattrapage — segment 1</w:t>
            </w:r>
          </w:p>
        </w:tc>
        <w:tc>
          <w:tcPr>
            <w:tcW w:type="dxa" w:w="3855"/>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+ 1</w:t>
            </w:r>
          </w:p>
        </w:tc>
        <w:tc>
          <w:tcPr>
            <w:tcW w:type="dxa" w:w="2506"/>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1</w:t>
            </w:r>
          </w:p>
        </w:tc>
      </w:tr>
      <w:tr>
        <w:trPr>
          <w:cantSplit/>
        </w:trPr>
        <w:tc>
          <w:tcPr>
            <w:tcW w:type="dxa" w:w="3277"/>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Indemnité</w:t>
            </w:r>
          </w:p>
        </w:tc>
        <w:tc>
          <w:tcPr>
            <w:tcW w:type="dxa" w:w="3855"/>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7 × 250 000</w:t>
            </w:r>
          </w:p>
        </w:tc>
        <w:tc>
          <w:tcPr>
            <w:tcW w:type="dxa" w:w="2506"/>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1 750 000</w:t>
            </w:r>
          </w:p>
        </w:tc>
      </w:tr>
      <w:tr>
        <w:trPr>
          <w:cantSplit/>
        </w:trPr>
        <w:tc>
          <w:tcPr>
            <w:tcW w:type="dxa" w:w="3277"/>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Hébergement</w:t>
            </w:r>
          </w:p>
        </w:tc>
        <w:tc>
          <w:tcPr>
            <w:tcW w:type="dxa" w:w="3855"/>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6 × 500 000</w:t>
            </w:r>
          </w:p>
        </w:tc>
        <w:tc>
          <w:tcPr>
            <w:tcW w:type="dxa" w:w="2506"/>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3 000 000</w:t>
            </w:r>
          </w:p>
        </w:tc>
      </w:tr>
      <w:tr>
        <w:trPr>
          <w:cantSplit/>
        </w:trPr>
        <w:tc>
          <w:tcPr>
            <w:tcW w:type="dxa" w:w="3277"/>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Nuitée de rattrapage</w:t>
            </w:r>
          </w:p>
        </w:tc>
        <w:tc>
          <w:tcPr>
            <w:tcW w:type="dxa" w:w="3855"/>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1 × 500 000</w:t>
            </w:r>
          </w:p>
        </w:tc>
        <w:tc>
          <w:tcPr>
            <w:tcW w:type="dxa" w:w="2506"/>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500 000</w:t>
            </w:r>
          </w:p>
        </w:tc>
      </w:tr>
      <w:tr>
        <w:trPr>
          <w:cantSplit/>
        </w:trPr>
        <w:tc>
          <w:tcPr>
            <w:tcW w:type="dxa" w:w="3277"/>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Total</w:t>
            </w:r>
          </w:p>
        </w:tc>
        <w:tc>
          <w:tcPr>
            <w:tcW w:type="dxa" w:w="3855"/>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p>
        </w:tc>
        <w:tc>
          <w:tcPr>
            <w:tcW w:type="dxa" w:w="2506"/>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5 250 000</w:t>
            </w:r>
          </w:p>
        </w:tc>
      </w:tr>
      <w:tr>
        <w:trPr>
          <w:cantSplit/>
        </w:trPr>
        <w:tc>
          <w:tcPr>
            <w:tcW w:type="dxa" w:w="3277"/>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Frais OM</w:t>
            </w:r>
          </w:p>
        </w:tc>
        <w:tc>
          <w:tcPr>
            <w:tcW w:type="dxa" w:w="3855"/>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0,8 % (palier 5 000 001 – 15 000 000)</w:t>
            </w:r>
          </w:p>
        </w:tc>
        <w:tc>
          <w:tcPr>
            <w:tcW w:type="dxa" w:w="2506"/>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42 000</w:t>
            </w:r>
          </w:p>
        </w:tc>
      </w:tr>
      <w:tr>
        <w:trPr>
          <w:cantSplit/>
        </w:trPr>
        <w:tc>
          <w:tcPr>
            <w:tcW w:type="dxa" w:w="3277"/>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Montant versé</w:t>
            </w:r>
          </w:p>
        </w:tc>
        <w:tc>
          <w:tcPr>
            <w:tcW w:type="dxa" w:w="3855"/>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p>
        </w:tc>
        <w:tc>
          <w:tcPr>
            <w:tcW w:type="dxa" w:w="2506"/>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5 292 000</w:t>
            </w:r>
          </w:p>
        </w:tc>
      </w:tr>
    </w:tbl>
    <w:p>
      <w:pPr>
        <w:spacing w:after="100"/>
      </w:pPr>
    </w:p>
    <w:p>
      <w:pPr>
        <w:spacing w:after="100" w:before="0" w:line="276"/>
      </w:pPr>
      <w:r>
        <w:rPr>
          <w:rFonts w:ascii="Calibri" w:cs="Calibri" w:eastAsia="Calibri" w:hAnsi="Calibri"/>
          <w:sz w:val="21"/>
          <w:szCs w:val="21"/>
        </w:rPr>
        <w:t xml:space="preserve">Contrôle de la mission : 5 + 7 = 12 jours ; 4 + 7 = 11 nuits = 12 − 1. ✔</w:t>
      </w:r>
    </w:p>
    <w:p>
      <w:pPr>
        <w:pStyle w:val="Heading2"/>
      </w:pPr>
      <w:r>
        <w:t xml:space="preserve">B.4 Cas réel : mission KOUROUMA (29/07 → 25/09/2026)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2120"/>
        <w:gridCol w:w="964"/>
        <w:gridCol w:w="1735"/>
        <w:gridCol w:w="2120"/>
        <w:gridCol w:w="1639"/>
      </w:tblGrid>
      <w:tr>
        <w:trPr>
          <w:tblHeader/>
        </w:trPr>
        <w:tc>
          <w:tcPr>
            <w:tcW w:type="dxa" w:w="1060"/>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Segment</w:t>
            </w:r>
          </w:p>
        </w:tc>
        <w:tc>
          <w:tcPr>
            <w:tcW w:type="dxa" w:w="2120"/>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Période</w:t>
            </w:r>
          </w:p>
        </w:tc>
        <w:tc>
          <w:tcPr>
            <w:tcW w:type="dxa" w:w="964"/>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Jours</w:t>
            </w:r>
          </w:p>
        </w:tc>
        <w:tc>
          <w:tcPr>
            <w:tcW w:type="dxa" w:w="1735"/>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Nuits payées</w:t>
            </w:r>
          </w:p>
        </w:tc>
        <w:tc>
          <w:tcPr>
            <w:tcW w:type="dxa" w:w="2120"/>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Nuits selon la règle</w:t>
            </w:r>
          </w:p>
        </w:tc>
        <w:tc>
          <w:tcPr>
            <w:tcW w:type="dxa" w:w="1639"/>
            <w:tcBorders>
              <w:top w:val="single" w:color="BFC7D5" w:sz="4"/>
              <w:left w:val="single" w:color="BFC7D5" w:sz="4"/>
              <w:bottom w:val="single" w:color="BFC7D5" w:sz="4"/>
              <w:right w:val="single" w:color="BFC7D5" w:sz="4"/>
            </w:tcBorders>
            <w:shd w:fill="1B2A4A" w:color="auto" w:val="clear"/>
            <w:tcMar>
              <w:top w:type="dxa" w:w="50"/>
              <w:left w:type="dxa" w:w="90"/>
              <w:bottom w:type="dxa" w:w="50"/>
              <w:right w:type="dxa" w:w="90"/>
            </w:tcMar>
            <w:vAlign w:val="top"/>
          </w:tcPr>
          <w:p>
            <w:pPr>
              <w:spacing w:after="20"/>
            </w:pPr>
            <w:r>
              <w:rPr>
                <w:rFonts w:ascii="Calibri" w:cs="Calibri" w:eastAsia="Calibri" w:hAnsi="Calibri"/>
                <w:b/>
                <w:bCs/>
                <w:color w:val="FFFFFF"/>
                <w:sz w:val="18"/>
                <w:szCs w:val="18"/>
              </w:rPr>
              <w:t xml:space="preserve">Écart</w:t>
            </w:r>
          </w:p>
        </w:tc>
      </w:tr>
      <w:tr>
        <w:trPr>
          <w:cantSplit/>
        </w:trPr>
        <w:tc>
          <w:tcPr>
            <w:tcW w:type="dxa" w:w="1060"/>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1</w:t>
            </w:r>
          </w:p>
        </w:tc>
        <w:tc>
          <w:tcPr>
            <w:tcW w:type="dxa" w:w="2120"/>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à partir du 29/07</w:t>
            </w:r>
          </w:p>
        </w:tc>
        <w:tc>
          <w:tcPr>
            <w:tcW w:type="dxa" w:w="964"/>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9</w:t>
            </w:r>
          </w:p>
        </w:tc>
        <w:tc>
          <w:tcPr>
            <w:tcW w:type="dxa" w:w="1735"/>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8</w:t>
            </w:r>
          </w:p>
        </w:tc>
        <w:tc>
          <w:tcPr>
            <w:tcW w:type="dxa" w:w="2120"/>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8</w:t>
            </w:r>
          </w:p>
        </w:tc>
        <w:tc>
          <w:tcPr>
            <w:tcW w:type="dxa" w:w="163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w:t>
            </w:r>
          </w:p>
        </w:tc>
      </w:tr>
      <w:tr>
        <w:trPr>
          <w:cantSplit/>
        </w:trPr>
        <w:tc>
          <w:tcPr>
            <w:tcW w:type="dxa" w:w="1060"/>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2</w:t>
            </w:r>
          </w:p>
        </w:tc>
        <w:tc>
          <w:tcPr>
            <w:tcW w:type="dxa" w:w="2120"/>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07/08 – 20/08</w:t>
            </w:r>
          </w:p>
        </w:tc>
        <w:tc>
          <w:tcPr>
            <w:tcW w:type="dxa" w:w="964"/>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14</w:t>
            </w:r>
          </w:p>
        </w:tc>
        <w:tc>
          <w:tcPr>
            <w:tcW w:type="dxa" w:w="1735"/>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14</w:t>
            </w:r>
          </w:p>
        </w:tc>
        <w:tc>
          <w:tcPr>
            <w:tcW w:type="dxa" w:w="2120"/>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14</w:t>
            </w:r>
          </w:p>
        </w:tc>
        <w:tc>
          <w:tcPr>
            <w:tcW w:type="dxa" w:w="163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w:t>
            </w:r>
          </w:p>
        </w:tc>
      </w:tr>
      <w:tr>
        <w:trPr>
          <w:cantSplit/>
        </w:trPr>
        <w:tc>
          <w:tcPr>
            <w:tcW w:type="dxa" w:w="1060"/>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3</w:t>
            </w:r>
          </w:p>
        </w:tc>
        <w:tc>
          <w:tcPr>
            <w:tcW w:type="dxa" w:w="2120"/>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21/08 – 26/08</w:t>
            </w:r>
          </w:p>
        </w:tc>
        <w:tc>
          <w:tcPr>
            <w:tcW w:type="dxa" w:w="964"/>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6</w:t>
            </w:r>
          </w:p>
        </w:tc>
        <w:tc>
          <w:tcPr>
            <w:tcW w:type="dxa" w:w="1735"/>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5 → corrigé 6</w:t>
            </w:r>
          </w:p>
        </w:tc>
        <w:tc>
          <w:tcPr>
            <w:tcW w:type="dxa" w:w="2120"/>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6</w:t>
            </w:r>
          </w:p>
        </w:tc>
        <w:tc>
          <w:tcPr>
            <w:tcW w:type="dxa" w:w="1639"/>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w:t>
            </w:r>
          </w:p>
        </w:tc>
      </w:tr>
      <w:tr>
        <w:trPr>
          <w:cantSplit/>
        </w:trPr>
        <w:tc>
          <w:tcPr>
            <w:tcW w:type="dxa" w:w="1060"/>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4</w:t>
            </w:r>
          </w:p>
        </w:tc>
        <w:tc>
          <w:tcPr>
            <w:tcW w:type="dxa" w:w="2120"/>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27/08 – 20/09</w:t>
            </w:r>
          </w:p>
        </w:tc>
        <w:tc>
          <w:tcPr>
            <w:tcW w:type="dxa" w:w="964"/>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25</w:t>
            </w:r>
          </w:p>
        </w:tc>
        <w:tc>
          <w:tcPr>
            <w:tcW w:type="dxa" w:w="1735"/>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25</w:t>
            </w:r>
          </w:p>
        </w:tc>
        <w:tc>
          <w:tcPr>
            <w:tcW w:type="dxa" w:w="2120"/>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25</w:t>
            </w:r>
          </w:p>
        </w:tc>
        <w:tc>
          <w:tcPr>
            <w:tcW w:type="dxa" w:w="163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w:t>
            </w:r>
          </w:p>
        </w:tc>
      </w:tr>
      <w:tr>
        <w:trPr>
          <w:cantSplit/>
        </w:trPr>
        <w:tc>
          <w:tcPr>
            <w:tcW w:type="dxa" w:w="1060"/>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5</w:t>
            </w:r>
          </w:p>
        </w:tc>
        <w:tc>
          <w:tcPr>
            <w:tcW w:type="dxa" w:w="2120"/>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21/09 – 25/09</w:t>
            </w:r>
          </w:p>
        </w:tc>
        <w:tc>
          <w:tcPr>
            <w:tcW w:type="dxa" w:w="964"/>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5</w:t>
            </w:r>
          </w:p>
        </w:tc>
        <w:tc>
          <w:tcPr>
            <w:tcW w:type="dxa" w:w="1735"/>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4</w:t>
            </w:r>
          </w:p>
        </w:tc>
        <w:tc>
          <w:tcPr>
            <w:tcW w:type="dxa" w:w="2120"/>
            <w:tcBorders>
              <w:top w:val="single" w:color="BFC7D5" w:sz="4"/>
              <w:left w:val="single" w:color="BFC7D5" w:sz="4"/>
              <w:bottom w:val="single" w:color="BFC7D5" w:sz="4"/>
              <w:right w:val="single" w:color="BFC7D5" w:sz="4"/>
            </w:tcBorders>
            <w:shd w:fill="FFFFFF" w:color="auto" w:val="clear"/>
            <w:tcMar>
              <w:top w:type="dxa" w:w="50"/>
              <w:left w:type="dxa" w:w="90"/>
              <w:bottom w:type="dxa" w:w="50"/>
              <w:right w:type="dxa" w:w="90"/>
            </w:tcMar>
            <w:vAlign w:val="top"/>
          </w:tcPr>
          <w:p>
            <w:pPr>
              <w:spacing w:after="20"/>
            </w:pPr>
            <w:r>
              <w:rPr>
                <w:rFonts w:ascii="Calibri" w:cs="Calibri" w:eastAsia="Calibri" w:hAnsi="Calibri"/>
                <w:sz w:val="18"/>
                <w:szCs w:val="18"/>
              </w:rPr>
              <w:t xml:space="preserve">5</w:t>
            </w:r>
          </w:p>
        </w:tc>
        <w:tc>
          <w:tcPr>
            <w:tcW w:type="dxa" w:w="1639"/>
            <w:tcBorders>
              <w:top w:val="single" w:color="BFC7D5" w:sz="4"/>
              <w:left w:val="single" w:color="BFC7D5" w:sz="4"/>
              <w:bottom w:val="single" w:color="BFC7D5" w:sz="4"/>
              <w:right w:val="single" w:color="BFC7D5" w:sz="4"/>
            </w:tcBorders>
            <w:shd w:fill="F9DEDE" w:color="auto" w:val="clear"/>
            <w:tcMar>
              <w:top w:type="dxa" w:w="50"/>
              <w:left w:type="dxa" w:w="90"/>
              <w:bottom w:type="dxa" w:w="50"/>
              <w:right w:type="dxa" w:w="90"/>
            </w:tcMar>
            <w:vAlign w:val="top"/>
          </w:tcPr>
          <w:p>
            <w:pPr>
              <w:spacing w:after="20"/>
            </w:pPr>
            <w:r>
              <w:rPr>
                <w:rFonts w:ascii="Calibri" w:cs="Calibri" w:eastAsia="Calibri" w:hAnsi="Calibri"/>
                <w:color w:val="A61B1B"/>
                <w:sz w:val="18"/>
                <w:szCs w:val="18"/>
              </w:rPr>
              <w:t xml:space="preserve">− 1</w:t>
            </w:r>
          </w:p>
        </w:tc>
      </w:tr>
      <w:tr>
        <w:trPr>
          <w:cantSplit/>
        </w:trPr>
        <w:tc>
          <w:tcPr>
            <w:tcW w:type="dxa" w:w="1060"/>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Total</w:t>
            </w:r>
          </w:p>
        </w:tc>
        <w:tc>
          <w:tcPr>
            <w:tcW w:type="dxa" w:w="2120"/>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p>
        </w:tc>
        <w:tc>
          <w:tcPr>
            <w:tcW w:type="dxa" w:w="964"/>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59</w:t>
            </w:r>
          </w:p>
        </w:tc>
        <w:tc>
          <w:tcPr>
            <w:tcW w:type="dxa" w:w="1735"/>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57</w:t>
            </w:r>
          </w:p>
        </w:tc>
        <w:tc>
          <w:tcPr>
            <w:tcW w:type="dxa" w:w="2120"/>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58</w:t>
            </w:r>
          </w:p>
        </w:tc>
        <w:tc>
          <w:tcPr>
            <w:tcW w:type="dxa" w:w="1639"/>
            <w:tcBorders>
              <w:top w:val="single" w:color="BFC7D5" w:sz="4"/>
              <w:left w:val="single" w:color="BFC7D5" w:sz="4"/>
              <w:bottom w:val="single" w:color="BFC7D5" w:sz="4"/>
              <w:right w:val="single" w:color="BFC7D5" w:sz="4"/>
            </w:tcBorders>
            <w:shd w:fill="F3F4F6" w:color="auto" w:val="clear"/>
            <w:tcMar>
              <w:top w:type="dxa" w:w="50"/>
              <w:left w:type="dxa" w:w="90"/>
              <w:bottom w:type="dxa" w:w="50"/>
              <w:right w:type="dxa" w:w="90"/>
            </w:tcMar>
            <w:vAlign w:val="top"/>
          </w:tcPr>
          <w:p>
            <w:pPr>
              <w:spacing w:after="20"/>
            </w:pPr>
            <w:r>
              <w:rPr>
                <w:rFonts w:ascii="Calibri" w:cs="Calibri" w:eastAsia="Calibri" w:hAnsi="Calibri"/>
                <w:b/>
                <w:bCs/>
                <w:sz w:val="18"/>
                <w:szCs w:val="18"/>
              </w:rPr>
              <w:t xml:space="preserve">− 1</w:t>
            </w:r>
          </w:p>
        </w:tc>
      </w:tr>
    </w:tbl>
    <w:p>
      <w:pPr>
        <w:spacing w:after="100"/>
      </w:pPr>
    </w:p>
    <w:p>
      <w:pPr>
        <w:spacing w:after="120"/>
      </w:pPr>
      <w:r>
        <w:rPr>
          <w:rFonts w:ascii="Calibri" w:cs="Calibri" w:eastAsia="Calibri" w:hAnsi="Calibri"/>
          <w:i/>
          <w:iCs/>
          <w:color w:val="555555"/>
          <w:sz w:val="19"/>
          <w:szCs w:val="19"/>
        </w:rPr>
        <w:t xml:space="preserve">La règle de ce document donne 58 nuits (59 − 1). Le fil Neemba en paie 57 : le dernier segment semble appliquer « jours − 1 » sans la nuit de rattrapage. À vérifier avec Neemba (PO-21) ; ne pas adapter le calcul.</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772E" w:sz="6" w:space="4"/>
      </w:pBdr>
    </w:pPr>
    <w:r>
      <w:rPr>
        <w:rFonts w:ascii="Calibri" w:cs="Calibri" w:eastAsia="Calibri" w:hAnsi="Calibri"/>
        <w:b/>
        <w:bCs/>
        <w:color w:val="E8772E"/>
        <w:sz w:val="16"/>
        <w:szCs w:val="16"/>
      </w:rPr>
      <w:t xml:space="preserve">ADDVALIS  </w:t>
    </w:r>
    <w:r>
      <w:rPr>
        <w:rFonts w:ascii="Calibri" w:cs="Calibri" w:eastAsia="Calibri" w:hAnsi="Calibri"/>
        <w:color w:val="6B7280"/>
        <w:sz w:val="16"/>
        <w:szCs w:val="16"/>
      </w:rPr>
      <w:t xml:space="preserve">Neemba Périmètre 2 — Spécification fonctionnelle v2.2 — Interne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00" w:hanging="300"/>
      </w:pPr>
    </w:lvl>
  </w:abstractNum>
  <w:abstractNum w:abstractNumId="4" w15:restartNumberingAfterBreak="0">
    <w:multiLevelType w:val="hybridMultilevel"/>
    <w:lvl w:ilvl="0" w15:tentative="1">
      <w:start w:val="1"/>
      <w:numFmt w:val="decimal"/>
      <w:lvlText w:val="%1."/>
      <w:lvlJc w:val="left"/>
      <w:pPr>
        <w:ind w:left="500" w:hanging="300"/>
      </w:pPr>
    </w:lvl>
  </w:abstractNum>
  <w:abstractNum w:abstractNumId="5" w15:restartNumberingAfterBreak="0">
    <w:multiLevelType w:val="hybridMultilevel"/>
    <w:lvl w:ilvl="0" w15:tentative="1">
      <w:start w:val="1"/>
      <w:numFmt w:val="decimal"/>
      <w:lvlText w:val="%1."/>
      <w:lvlJc w:val="left"/>
      <w:pPr>
        <w:ind w:left="500" w:hanging="300"/>
      </w:pPr>
    </w:lvl>
  </w:abstractNum>
  <w:abstractNum w:abstractNumId="6" w15:restartNumberingAfterBreak="0">
    <w:multiLevelType w:val="hybridMultilevel"/>
    <w:lvl w:ilvl="0" w15:tentative="1">
      <w:start w:val="1"/>
      <w:numFmt w:val="decimal"/>
      <w:lvlText w:val="%1."/>
      <w:lvlJc w:val="left"/>
      <w:pPr>
        <w:ind w:left="500" w:hanging="300"/>
      </w:pPr>
    </w:lvl>
  </w:abstractNum>
  <w:abstractNum w:abstractNumId="7" w15:restartNumberingAfterBreak="0">
    <w:multiLevelType w:val="hybridMultilevel"/>
    <w:lvl w:ilvl="0" w15:tentative="1">
      <w:start w:val="1"/>
      <w:numFmt w:val="decimal"/>
      <w:lvlText w:val="%1."/>
      <w:lvlJc w:val="left"/>
      <w:pPr>
        <w:ind w:left="500" w:hanging="300"/>
      </w:pPr>
    </w:lvl>
  </w:abstractNum>
  <w:abstractNum w:abstractNumId="8"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8772E" w:sz="12" w:space="4"/>
      </w:pBdr>
      <w:spacing w:after="200" w:before="120"/>
      <w:outlineLvl w:val="0"/>
    </w:pPr>
    <w:rPr>
      <w:rFonts w:ascii="Calibri" w:cs="Calibri" w:eastAsia="Calibri" w:hAnsi="Calibri"/>
      <w:b/>
      <w:bCs/>
      <w:color w:val="1B2A4A"/>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1B2A4A"/>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E877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Spécification fonctionnelle v2.2 — Neemba Périmètre 2</dc:title>
  <dc:creator>Addvalis</dc:creator>
  <cp:lastModifiedBy>Un-named</cp:lastModifiedBy>
  <cp:revision>1</cp:revision>
  <dcterms:created xsi:type="dcterms:W3CDTF">2026-10-07T16:59:47.087Z</dcterms:created>
  <dcterms:modified xsi:type="dcterms:W3CDTF">2026-10-07T16:59:47.095Z</dcterms:modified>
</cp:coreProperties>
</file>

<file path=docProps/custom.xml><?xml version="1.0" encoding="utf-8"?>
<Properties xmlns="http://schemas.openxmlformats.org/officeDocument/2006/custom-properties" xmlns:vt="http://schemas.openxmlformats.org/officeDocument/2006/docPropsVTypes"/>
</file>