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Default="00C3759F" w:rsidP="000F73A1">
      <w:pPr>
        <w:pStyle w:val="Header"/>
        <w:jc w:val="center"/>
      </w:pPr>
      <w:bookmarkStart w:id="0" w:name="_GoBack"/>
      <w:bookmarkEnd w:id="0"/>
      <w:r>
        <w:t>NSCI 20100 Neuroscience Laboratory</w:t>
      </w:r>
    </w:p>
    <w:p w14:paraId="68AA72F4" w14:textId="2522F228" w:rsidR="000F73A1" w:rsidRPr="000F73A1" w:rsidRDefault="008957DF" w:rsidP="000F73A1">
      <w:pPr>
        <w:pStyle w:val="Header"/>
        <w:jc w:val="center"/>
      </w:pPr>
      <w:r>
        <w:t>Electro-</w:t>
      </w:r>
      <w:proofErr w:type="spellStart"/>
      <w:r>
        <w:t>oculogram</w:t>
      </w:r>
      <w:proofErr w:type="spellEnd"/>
      <w:r>
        <w:t xml:space="preserve"> Recordings</w:t>
      </w:r>
    </w:p>
    <w:p w14:paraId="5F832B9E" w14:textId="3B453B62" w:rsidR="000F73A1" w:rsidRDefault="000F73A1" w:rsidP="000F73A1">
      <w:pPr>
        <w:pStyle w:val="Header"/>
        <w:jc w:val="center"/>
      </w:pPr>
      <w:r>
        <w:t xml:space="preserve">BSLC 322, January </w:t>
      </w:r>
      <w:r w:rsidR="008957DF">
        <w:t>10/12</w:t>
      </w:r>
      <w:r>
        <w:t>, 2018</w:t>
      </w:r>
    </w:p>
    <w:p w14:paraId="64BDB97D" w14:textId="77777777" w:rsidR="000F73A1" w:rsidRDefault="000F73A1" w:rsidP="000F73A1">
      <w:pPr>
        <w:pStyle w:val="Header"/>
        <w:jc w:val="center"/>
      </w:pPr>
    </w:p>
    <w:p w14:paraId="62B1964C" w14:textId="0370B01C" w:rsidR="005C0AA7" w:rsidRDefault="004C0487" w:rsidP="000F73A1">
      <w:pPr>
        <w:spacing w:after="120"/>
        <w:jc w:val="both"/>
        <w:rPr>
          <w:rFonts w:ascii="Arial" w:hAnsi="Arial" w:cs="Arial"/>
          <w:b/>
          <w:i/>
          <w:sz w:val="20"/>
          <w:szCs w:val="20"/>
        </w:rPr>
      </w:pPr>
      <w:r>
        <w:rPr>
          <w:rFonts w:ascii="Arial" w:hAnsi="Arial" w:cs="Arial"/>
          <w:b/>
          <w:i/>
          <w:sz w:val="20"/>
          <w:szCs w:val="20"/>
        </w:rPr>
        <w:t>Announce test mode (added noise)</w:t>
      </w:r>
    </w:p>
    <w:p w14:paraId="2A6F1B22" w14:textId="29D61A47" w:rsidR="004C0487" w:rsidRDefault="004C0487" w:rsidP="000F73A1">
      <w:pPr>
        <w:spacing w:after="120"/>
        <w:jc w:val="both"/>
        <w:rPr>
          <w:rFonts w:ascii="Arial" w:hAnsi="Arial" w:cs="Arial"/>
          <w:b/>
          <w:i/>
          <w:sz w:val="20"/>
          <w:szCs w:val="20"/>
        </w:rPr>
      </w:pPr>
      <w:r>
        <w:rPr>
          <w:rFonts w:ascii="Arial" w:hAnsi="Arial" w:cs="Arial"/>
          <w:b/>
          <w:i/>
          <w:sz w:val="20"/>
          <w:szCs w:val="20"/>
        </w:rPr>
        <w:t>(</w:t>
      </w:r>
      <w:proofErr w:type="spellStart"/>
      <w:r>
        <w:rPr>
          <w:rFonts w:ascii="Arial" w:hAnsi="Arial" w:cs="Arial"/>
          <w:b/>
          <w:i/>
          <w:sz w:val="20"/>
          <w:szCs w:val="20"/>
        </w:rPr>
        <w:t>dataRaw</w:t>
      </w:r>
      <w:proofErr w:type="spellEnd"/>
      <w:r>
        <w:rPr>
          <w:rFonts w:ascii="Arial" w:hAnsi="Arial" w:cs="Arial"/>
          <w:b/>
          <w:i/>
          <w:sz w:val="20"/>
          <w:szCs w:val="20"/>
        </w:rPr>
        <w:t xml:space="preserve"> / </w:t>
      </w:r>
      <w:proofErr w:type="spellStart"/>
      <w:r>
        <w:rPr>
          <w:rFonts w:ascii="Arial" w:hAnsi="Arial" w:cs="Arial"/>
          <w:b/>
          <w:i/>
          <w:sz w:val="20"/>
          <w:szCs w:val="20"/>
        </w:rPr>
        <w:t>dataPosition</w:t>
      </w:r>
      <w:proofErr w:type="spellEnd"/>
      <w:r>
        <w:rPr>
          <w:rFonts w:ascii="Arial" w:hAnsi="Arial" w:cs="Arial"/>
          <w:b/>
          <w:i/>
          <w:sz w:val="20"/>
          <w:szCs w:val="20"/>
        </w:rPr>
        <w:t>) have become the same</w:t>
      </w:r>
    </w:p>
    <w:p w14:paraId="122B40BB" w14:textId="0FA2CAEA" w:rsidR="005B6A0D" w:rsidRDefault="004C0487" w:rsidP="004A2A30">
      <w:pPr>
        <w:spacing w:after="120"/>
        <w:jc w:val="both"/>
        <w:rPr>
          <w:rFonts w:ascii="Arial" w:hAnsi="Arial" w:cs="Arial"/>
          <w:b/>
          <w:i/>
          <w:sz w:val="20"/>
          <w:szCs w:val="20"/>
        </w:rPr>
      </w:pPr>
      <w:r>
        <w:rPr>
          <w:rFonts w:ascii="Arial" w:hAnsi="Arial" w:cs="Arial"/>
          <w:b/>
          <w:i/>
          <w:sz w:val="20"/>
          <w:szCs w:val="20"/>
        </w:rPr>
        <w:t xml:space="preserve">saccade start needs to walk back to </w:t>
      </w:r>
      <w:r w:rsidR="004A2A30">
        <w:rPr>
          <w:rFonts w:ascii="Arial" w:hAnsi="Arial" w:cs="Arial"/>
          <w:b/>
          <w:i/>
          <w:sz w:val="20"/>
          <w:szCs w:val="20"/>
        </w:rPr>
        <w:t>where velocity becomes positive</w:t>
      </w:r>
      <w:r w:rsidR="005B6A0D">
        <w:rPr>
          <w:rFonts w:ascii="Arial" w:hAnsi="Arial" w:cs="Arial"/>
          <w:b/>
          <w:i/>
          <w:sz w:val="20"/>
          <w:szCs w:val="20"/>
        </w:rPr>
        <w:t>?</w:t>
      </w:r>
    </w:p>
    <w:p w14:paraId="28DB29CE" w14:textId="7ADF7D3A" w:rsidR="00F64CDB" w:rsidRPr="00BF2660" w:rsidRDefault="00F64CDB" w:rsidP="000F73A1">
      <w:pPr>
        <w:spacing w:after="120"/>
        <w:jc w:val="both"/>
        <w:rPr>
          <w:rFonts w:ascii="Arial" w:hAnsi="Arial" w:cs="Arial"/>
          <w:b/>
          <w:i/>
          <w:sz w:val="20"/>
          <w:szCs w:val="20"/>
        </w:rPr>
      </w:pPr>
      <w:r>
        <w:rPr>
          <w:rFonts w:ascii="Arial" w:hAnsi="Arial" w:cs="Arial"/>
          <w:b/>
          <w:i/>
          <w:sz w:val="20"/>
          <w:szCs w:val="20"/>
        </w:rPr>
        <w:t>Reject trials with high baseline noise</w:t>
      </w:r>
    </w:p>
    <w:p w14:paraId="51DFC2CA" w14:textId="77777777" w:rsidR="005C0AA7" w:rsidRDefault="005C0AA7" w:rsidP="000F73A1">
      <w:pPr>
        <w:spacing w:after="120"/>
        <w:jc w:val="both"/>
        <w:rPr>
          <w:rFonts w:ascii="Arial" w:hAnsi="Arial" w:cs="Arial"/>
          <w:b/>
          <w:sz w:val="20"/>
          <w:szCs w:val="20"/>
        </w:rPr>
      </w:pPr>
    </w:p>
    <w:p w14:paraId="542157DB" w14:textId="7DDC344E"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p>
    <w:p w14:paraId="52AFDA90" w14:textId="03CF9FC8"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5B8B1284" w14:textId="703EF1B3" w:rsidR="00872945" w:rsidRPr="00411CBD" w:rsidRDefault="00242246" w:rsidP="00872945">
      <w:pPr>
        <w:spacing w:after="120"/>
        <w:jc w:val="both"/>
        <w:rPr>
          <w:rFonts w:ascii="Arial" w:hAnsi="Arial" w:cs="Arial"/>
          <w:sz w:val="20"/>
          <w:szCs w:val="20"/>
        </w:rPr>
      </w:pPr>
      <w:r>
        <w:rPr>
          <w:rFonts w:ascii="Arial" w:hAnsi="Arial" w:cs="Arial"/>
          <w:sz w:val="20"/>
          <w:szCs w:val="20"/>
        </w:rPr>
        <w:t xml:space="preserve">EOG electrodes should be gentle cleaned to remove electrolyte gel. </w:t>
      </w:r>
      <w:r>
        <w:rPr>
          <w:rFonts w:ascii="Arial" w:hAnsi="Arial" w:cs="Arial"/>
          <w:b/>
          <w:sz w:val="20"/>
          <w:szCs w:val="20"/>
        </w:rPr>
        <w:t>PROCEDURES</w:t>
      </w:r>
      <w:r w:rsidR="00872945">
        <w:rPr>
          <w:rFonts w:ascii="Arial" w:hAnsi="Arial" w:cs="Arial"/>
          <w:sz w:val="20"/>
          <w:szCs w:val="20"/>
        </w:rPr>
        <w:t xml:space="preserve">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35EB7C"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p>
    <w:p w14:paraId="4A3B3606" w14:textId="4B186AE2"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5965ED71" w:rsidR="003C052D" w:rsidRDefault="003C052D" w:rsidP="009A5124">
      <w:pPr>
        <w:spacing w:after="120"/>
        <w:jc w:val="both"/>
        <w:rPr>
          <w:rFonts w:ascii="Arial" w:hAnsi="Arial" w:cs="Arial"/>
          <w:b/>
          <w:i/>
          <w:sz w:val="20"/>
          <w:szCs w:val="20"/>
        </w:rPr>
      </w:pPr>
      <w:r>
        <w:rPr>
          <w:rFonts w:ascii="Arial" w:hAnsi="Arial" w:cs="Arial"/>
          <w:b/>
          <w:i/>
          <w:sz w:val="20"/>
          <w:szCs w:val="20"/>
        </w:rPr>
        <w:t>Hardware</w:t>
      </w:r>
    </w:p>
    <w:p w14:paraId="465B31BB" w14:textId="3652F18D" w:rsidR="00202EAF" w:rsidRDefault="00824B5A"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109C8984">
            <wp:simplePos x="0" y="0"/>
            <wp:positionH relativeFrom="column">
              <wp:posOffset>4660900</wp:posOffset>
            </wp:positionH>
            <wp:positionV relativeFrom="paragraph">
              <wp:posOffset>15240</wp:posOffset>
            </wp:positionV>
            <wp:extent cx="1294765" cy="1859915"/>
            <wp:effectExtent l="0" t="0" r="635" b="0"/>
            <wp:wrapSquare wrapText="bothSides"/>
            <wp:docPr id="4" name="Picture 4" descr="../../EOG%20electr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4765" cy="18599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68FA5A75"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alcohol from the pad in your eyes.  Allow the skin to dry before attaching the electrodes.</w:t>
      </w:r>
    </w:p>
    <w:p w14:paraId="0DDBA277" w14:textId="69CA4A19"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the pad to the electrode face.  Apply a small amount of electrolyte gel to the electrode </w:t>
      </w:r>
      <w:r w:rsidR="00ED255F">
        <w:rPr>
          <w:rFonts w:ascii="Arial" w:hAnsi="Arial" w:cs="Arial"/>
          <w:sz w:val="20"/>
          <w:szCs w:val="20"/>
        </w:rPr>
        <w:t xml:space="preserve">using the syringe and blunt needle.  Avoid scratching the electrode.  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Attach the remaining two electrodes. </w:t>
      </w:r>
    </w:p>
    <w:p w14:paraId="6C8B49CC" w14:textId="3D69BA6F" w:rsidR="003C052D" w:rsidRPr="003C052D" w:rsidRDefault="00145161" w:rsidP="009A5124">
      <w:pPr>
        <w:spacing w:after="120"/>
        <w:jc w:val="both"/>
        <w:rPr>
          <w:rFonts w:ascii="Arial" w:hAnsi="Arial" w:cs="Arial"/>
          <w:sz w:val="20"/>
          <w:szCs w:val="20"/>
        </w:rPr>
      </w:pPr>
      <w:r>
        <w:rPr>
          <w:rFonts w:ascii="Arial" w:hAnsi="Arial" w:cs="Arial"/>
          <w:i/>
          <w:sz w:val="20"/>
          <w:szCs w:val="20"/>
        </w:rPr>
        <w:t xml:space="preserve">Recording Equipment: </w:t>
      </w:r>
      <w:r>
        <w:rPr>
          <w:rFonts w:ascii="Arial" w:hAnsi="Arial" w:cs="Arial"/>
          <w:sz w:val="20"/>
          <w:szCs w:val="20"/>
        </w:rPr>
        <w:t>I</w:t>
      </w:r>
      <w:r w:rsidR="0035129E">
        <w:rPr>
          <w:rFonts w:ascii="Arial" w:hAnsi="Arial" w:cs="Arial"/>
          <w:sz w:val="20"/>
          <w:szCs w:val="20"/>
        </w:rPr>
        <w:t xml:space="preserve">nsert the distal end of the electrodes into the C-ISO-256 </w:t>
      </w:r>
      <w:r w:rsidR="002D71C6">
        <w:rPr>
          <w:rFonts w:ascii="Arial" w:hAnsi="Arial" w:cs="Arial"/>
          <w:sz w:val="20"/>
          <w:szCs w:val="20"/>
        </w:rPr>
        <w:t xml:space="preserve">isolation unit.  The jacks are color coded according to the diagram above.  It does not matter if the electrodes you have are different colors, but you should insert them according to the color coding above. </w:t>
      </w:r>
      <w:r w:rsidR="00321DE9">
        <w:rPr>
          <w:rFonts w:ascii="Arial" w:hAnsi="Arial" w:cs="Arial"/>
          <w:sz w:val="20"/>
          <w:szCs w:val="20"/>
        </w:rPr>
        <w:t xml:space="preserve">The small switch at the other end of the C-ISO-256 should be set to 2.5 kHz. </w:t>
      </w:r>
      <w:r w:rsidR="00081734">
        <w:rPr>
          <w:rFonts w:ascii="Arial" w:hAnsi="Arial" w:cs="Arial"/>
          <w:sz w:val="20"/>
          <w:szCs w:val="20"/>
        </w:rPr>
        <w:t xml:space="preserve">The cable from the C-ISO-256 should be connected to left input of the </w:t>
      </w:r>
      <w:proofErr w:type="spellStart"/>
      <w:r w:rsidR="00081734">
        <w:rPr>
          <w:rFonts w:ascii="Arial" w:hAnsi="Arial" w:cs="Arial"/>
          <w:sz w:val="20"/>
          <w:szCs w:val="20"/>
        </w:rPr>
        <w:t>iWorx</w:t>
      </w:r>
      <w:proofErr w:type="spellEnd"/>
      <w:r w:rsidR="00081734">
        <w:rPr>
          <w:rFonts w:ascii="Arial" w:hAnsi="Arial" w:cs="Arial"/>
          <w:sz w:val="20"/>
          <w:szCs w:val="20"/>
        </w:rPr>
        <w:t xml:space="preserve"> ETH-256 amplifier.  BNC cables should connect Output 1 from the ETH-256 to 1) an oscilloscope</w:t>
      </w:r>
      <w:r>
        <w:rPr>
          <w:rFonts w:ascii="Arial" w:hAnsi="Arial" w:cs="Arial"/>
          <w:sz w:val="20"/>
          <w:szCs w:val="20"/>
        </w:rPr>
        <w:t xml:space="preserve"> and 2) a </w:t>
      </w:r>
      <w:proofErr w:type="spellStart"/>
      <w:r>
        <w:rPr>
          <w:rFonts w:ascii="Arial" w:hAnsi="Arial" w:cs="Arial"/>
          <w:sz w:val="20"/>
          <w:szCs w:val="20"/>
        </w:rPr>
        <w:t>LabJack</w:t>
      </w:r>
      <w:proofErr w:type="spellEnd"/>
      <w:r>
        <w:rPr>
          <w:rFonts w:ascii="Arial" w:hAnsi="Arial" w:cs="Arial"/>
          <w:sz w:val="20"/>
          <w:szCs w:val="20"/>
        </w:rPr>
        <w:t xml:space="preserve"> U6 computer data acquisition unit.  The </w:t>
      </w:r>
      <w:proofErr w:type="spellStart"/>
      <w:r>
        <w:rPr>
          <w:rFonts w:ascii="Arial" w:hAnsi="Arial" w:cs="Arial"/>
          <w:sz w:val="20"/>
          <w:szCs w:val="20"/>
        </w:rPr>
        <w:t>LabJack</w:t>
      </w:r>
      <w:proofErr w:type="spellEnd"/>
      <w:r>
        <w:rPr>
          <w:rFonts w:ascii="Arial" w:hAnsi="Arial" w:cs="Arial"/>
          <w:sz w:val="20"/>
          <w:szCs w:val="20"/>
        </w:rPr>
        <w:t xml:space="preserve"> U6 should be connected to the iMac computer with a USB cable. </w:t>
      </w:r>
      <w:r w:rsidR="003C052D">
        <w:rPr>
          <w:rFonts w:ascii="Arial" w:hAnsi="Arial" w:cs="Arial"/>
          <w:sz w:val="20"/>
          <w:szCs w:val="20"/>
        </w:rPr>
        <w:t xml:space="preserve"> </w:t>
      </w:r>
    </w:p>
    <w:p w14:paraId="2593CF2C" w14:textId="77777777" w:rsidR="003C052D" w:rsidRPr="003C052D" w:rsidRDefault="003C052D" w:rsidP="009A5124">
      <w:pPr>
        <w:spacing w:after="120"/>
        <w:jc w:val="both"/>
        <w:rPr>
          <w:rFonts w:ascii="Arial" w:hAnsi="Arial" w:cs="Arial"/>
          <w:b/>
          <w:sz w:val="20"/>
          <w:szCs w:val="20"/>
        </w:rPr>
      </w:pP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w:t>
      </w:r>
      <w:proofErr w:type="spellStart"/>
      <w:r w:rsidR="00F401B6">
        <w:rPr>
          <w:rFonts w:ascii="Arial" w:hAnsi="Arial" w:cs="Arial"/>
          <w:sz w:val="20"/>
          <w:szCs w:val="20"/>
        </w:rPr>
        <w:t>labuser</w:t>
      </w:r>
      <w:proofErr w:type="spellEnd"/>
      <w:r w:rsidR="00F401B6">
        <w:rPr>
          <w:rFonts w:ascii="Arial" w:hAnsi="Arial" w:cs="Arial"/>
          <w:sz w:val="20"/>
          <w:szCs w:val="20"/>
        </w:rPr>
        <w:t>”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731E5731"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“Matlab_2015b”</w:t>
      </w:r>
      <w:r w:rsidR="004520BF">
        <w:rPr>
          <w:rFonts w:ascii="Arial" w:hAnsi="Arial" w:cs="Arial"/>
          <w:sz w:val="20"/>
          <w:szCs w:val="20"/>
        </w:rPr>
        <w:t>.</w:t>
      </w:r>
      <w:r w:rsidR="0038615D">
        <w:rPr>
          <w:rFonts w:ascii="Arial" w:hAnsi="Arial" w:cs="Arial"/>
          <w:sz w:val="20"/>
          <w:szCs w:val="20"/>
        </w:rPr>
        <w:t>)</w:t>
      </w:r>
    </w:p>
    <w:p w14:paraId="155694B8" w14:textId="64CE5A04"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13643075" w14:textId="2CB4AFD9"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2BF318C8"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some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79BD21A5" w:rsidR="004908CF" w:rsidRDefault="00183B0E" w:rsidP="009B2FFE">
      <w:pPr>
        <w:pStyle w:val="p1"/>
        <w:jc w:val="both"/>
        <w:rPr>
          <w:rFonts w:ascii="Arial" w:hAnsi="Arial" w:cs="Arial"/>
          <w:sz w:val="20"/>
          <w:szCs w:val="20"/>
        </w:rPr>
      </w:pPr>
      <w:r>
        <w:rPr>
          <w:rFonts w:ascii="Arial" w:hAnsi="Arial" w:cs="Arial"/>
          <w:sz w:val="20"/>
          <w:szCs w:val="20"/>
        </w:rPr>
        <w:t>The task involves little more than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4°, 8°, 12° or 16°.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p>
    <w:p w14:paraId="67C0AC47" w14:textId="77777777" w:rsidR="008A5CDE" w:rsidRDefault="008A5CDE" w:rsidP="009B2FFE">
      <w:pPr>
        <w:pStyle w:val="p1"/>
        <w:jc w:val="both"/>
        <w:rPr>
          <w:rFonts w:ascii="Arial" w:hAnsi="Arial" w:cs="Arial"/>
          <w:sz w:val="20"/>
          <w:szCs w:val="20"/>
        </w:rPr>
      </w:pPr>
    </w:p>
    <w:p w14:paraId="6E827F46" w14:textId="33034A4C" w:rsidR="00711CC2" w:rsidRDefault="008A5CDE" w:rsidP="009B2FFE">
      <w:pPr>
        <w:pStyle w:val="p1"/>
        <w:jc w:val="both"/>
        <w:rPr>
          <w:rFonts w:ascii="Arial" w:hAnsi="Arial" w:cs="Arial"/>
          <w:sz w:val="20"/>
          <w:szCs w:val="20"/>
        </w:rPr>
      </w:pPr>
      <w:r>
        <w:rPr>
          <w:rFonts w:ascii="Arial" w:hAnsi="Arial" w:cs="Arial"/>
          <w:sz w:val="20"/>
          <w:szCs w:val="20"/>
        </w:rPr>
        <w:t>Before collecting data</w:t>
      </w:r>
      <w:r w:rsidR="00711CC2">
        <w:rPr>
          <w:rFonts w:ascii="Arial" w:hAnsi="Arial" w:cs="Arial"/>
          <w:sz w:val="20"/>
          <w:szCs w:val="20"/>
        </w:rPr>
        <w:t>,</w:t>
      </w:r>
      <w:r>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0AA6E717"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smallest (4°) saccades.  </w:t>
      </w:r>
      <w:r w:rsidR="001B7F31">
        <w:rPr>
          <w:rFonts w:ascii="Arial" w:hAnsi="Arial" w:cs="Arial"/>
          <w:sz w:val="20"/>
          <w:szCs w:val="20"/>
        </w:rPr>
        <w:t>The eye position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41E26E92"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4°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3E690120" w14:textId="46D54BA8" w:rsidR="003E0055" w:rsidRDefault="00450144" w:rsidP="003E0055">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5C146034">
            <wp:extent cx="6033135" cy="5325110"/>
            <wp:effectExtent l="0" t="0" r="12065" b="0"/>
            <wp:docPr id="2" name="Picture 2" descr="../../Screen%20Shot%202017-12-11%20at%2018.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7887" cy="53293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04BFBBA9" w14:textId="77777777" w:rsidR="00571219" w:rsidRPr="006E4C69" w:rsidRDefault="00571219" w:rsidP="00571219">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7DA924D8" w14:textId="77777777" w:rsidR="001D5541" w:rsidRDefault="001D5541" w:rsidP="0009494A">
      <w:pPr>
        <w:spacing w:after="120"/>
        <w:jc w:val="both"/>
        <w:rPr>
          <w:rFonts w:ascii="Arial" w:hAnsi="Arial" w:cs="Arial"/>
          <w:b/>
          <w:sz w:val="20"/>
          <w:szCs w:val="20"/>
        </w:rPr>
      </w:pP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31EFF42C"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recent position trace is displayed.  The difference between the two EOG electrodes is plotted as a function of time.  Depending on which electrode is connected to the positive amplifier input, left and right eye positions will correspond to either up and down, or else down and up. If a saccade is detected, its duration (above saccade speed threshold) will be marked by vertical lines.</w:t>
      </w:r>
      <w:r w:rsidR="00133287">
        <w:rPr>
          <w:rFonts w:ascii="Arial" w:hAnsi="Arial" w:cs="Arial"/>
          <w:sz w:val="20"/>
          <w:szCs w:val="20"/>
        </w:rPr>
        <w:t xml:space="preserve"> Each trace is offset so that the earliest portion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42576706"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The most recent velocity trace is displayed. This curve is the derivative of the most recent position trace plotted in panel 1</w:t>
      </w:r>
      <w:r w:rsidR="00132B82">
        <w:rPr>
          <w:rFonts w:ascii="Arial" w:hAnsi="Arial" w:cs="Arial"/>
          <w:sz w:val="20"/>
          <w:szCs w:val="20"/>
        </w:rPr>
        <w:t>.  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17BAED2A"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 xml:space="preserve">Saccade duration in milliseconds is plotted as a function of the four saccade amplitudes.  </w:t>
      </w:r>
    </w:p>
    <w:p w14:paraId="07CC632E" w14:textId="47058539" w:rsidR="003B4F12" w:rsidRDefault="003B4F12" w:rsidP="00AE5ABA">
      <w:pPr>
        <w:spacing w:after="120"/>
        <w:jc w:val="both"/>
        <w:rPr>
          <w:rFonts w:ascii="Arial" w:hAnsi="Arial" w:cs="Arial"/>
          <w:sz w:val="20"/>
          <w:szCs w:val="20"/>
        </w:rPr>
      </w:pPr>
      <w:r>
        <w:rPr>
          <w:rFonts w:ascii="Arial" w:hAnsi="Arial" w:cs="Arial"/>
          <w:sz w:val="20"/>
          <w:szCs w:val="20"/>
        </w:rPr>
        <w:t xml:space="preserve">The column of plots at the right edge of the display panel plots saccadic reaction times for the different step sizes.  There is one entry for every trial on which a saccade was detected.  The value is the delay between the step occurrence and the onset of the saccade.  </w:t>
      </w: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AD5C2" w14:textId="77777777" w:rsidR="008227EF" w:rsidRDefault="008227EF" w:rsidP="00DE7261">
      <w:r>
        <w:separator/>
      </w:r>
    </w:p>
  </w:endnote>
  <w:endnote w:type="continuationSeparator" w:id="0">
    <w:p w14:paraId="22DD886D" w14:textId="77777777" w:rsidR="008227EF" w:rsidRDefault="008227EF"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1DFB1" w14:textId="77777777" w:rsidR="008227EF" w:rsidRDefault="008227EF" w:rsidP="00DE7261">
      <w:r>
        <w:separator/>
      </w:r>
    </w:p>
  </w:footnote>
  <w:footnote w:type="continuationSeparator" w:id="0">
    <w:p w14:paraId="3A813A1C" w14:textId="77777777" w:rsidR="008227EF" w:rsidRDefault="008227EF"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81734"/>
    <w:rsid w:val="000917FD"/>
    <w:rsid w:val="00092E7A"/>
    <w:rsid w:val="000938B7"/>
    <w:rsid w:val="0009494A"/>
    <w:rsid w:val="000A247A"/>
    <w:rsid w:val="000B6BD0"/>
    <w:rsid w:val="000C36BA"/>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A4F"/>
    <w:rsid w:val="00157965"/>
    <w:rsid w:val="0016121C"/>
    <w:rsid w:val="00174EEE"/>
    <w:rsid w:val="00175ADD"/>
    <w:rsid w:val="00176663"/>
    <w:rsid w:val="00176859"/>
    <w:rsid w:val="00182E21"/>
    <w:rsid w:val="00183B0E"/>
    <w:rsid w:val="001870E2"/>
    <w:rsid w:val="0019612F"/>
    <w:rsid w:val="001A2324"/>
    <w:rsid w:val="001B0CCB"/>
    <w:rsid w:val="001B492C"/>
    <w:rsid w:val="001B576D"/>
    <w:rsid w:val="001B5BAF"/>
    <w:rsid w:val="001B7F31"/>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42246"/>
    <w:rsid w:val="002431B8"/>
    <w:rsid w:val="00246D8F"/>
    <w:rsid w:val="00256852"/>
    <w:rsid w:val="00270270"/>
    <w:rsid w:val="00272E6A"/>
    <w:rsid w:val="00281A7C"/>
    <w:rsid w:val="00283125"/>
    <w:rsid w:val="00286FFA"/>
    <w:rsid w:val="00290376"/>
    <w:rsid w:val="00291ACD"/>
    <w:rsid w:val="00296773"/>
    <w:rsid w:val="002A271E"/>
    <w:rsid w:val="002B0C49"/>
    <w:rsid w:val="002B4DF5"/>
    <w:rsid w:val="002C3EAC"/>
    <w:rsid w:val="002C5A04"/>
    <w:rsid w:val="002D1CD3"/>
    <w:rsid w:val="002D4228"/>
    <w:rsid w:val="002D71C6"/>
    <w:rsid w:val="002E32E6"/>
    <w:rsid w:val="002E799C"/>
    <w:rsid w:val="002F0FB4"/>
    <w:rsid w:val="002F7179"/>
    <w:rsid w:val="003169F3"/>
    <w:rsid w:val="00320FEB"/>
    <w:rsid w:val="00321DE9"/>
    <w:rsid w:val="00322321"/>
    <w:rsid w:val="00323342"/>
    <w:rsid w:val="003247D4"/>
    <w:rsid w:val="0032700A"/>
    <w:rsid w:val="003349A2"/>
    <w:rsid w:val="00335137"/>
    <w:rsid w:val="003467E7"/>
    <w:rsid w:val="0035129E"/>
    <w:rsid w:val="00353E9A"/>
    <w:rsid w:val="00356210"/>
    <w:rsid w:val="00357BAC"/>
    <w:rsid w:val="00360BE1"/>
    <w:rsid w:val="00363007"/>
    <w:rsid w:val="00372312"/>
    <w:rsid w:val="00385A64"/>
    <w:rsid w:val="00385F14"/>
    <w:rsid w:val="0038615D"/>
    <w:rsid w:val="003962DD"/>
    <w:rsid w:val="003A62C4"/>
    <w:rsid w:val="003B4930"/>
    <w:rsid w:val="003B4F12"/>
    <w:rsid w:val="003C052D"/>
    <w:rsid w:val="003C306F"/>
    <w:rsid w:val="003C49C0"/>
    <w:rsid w:val="003D396A"/>
    <w:rsid w:val="003E0055"/>
    <w:rsid w:val="003F061D"/>
    <w:rsid w:val="00400296"/>
    <w:rsid w:val="00400788"/>
    <w:rsid w:val="004034C7"/>
    <w:rsid w:val="00406A58"/>
    <w:rsid w:val="00417390"/>
    <w:rsid w:val="00417518"/>
    <w:rsid w:val="00424C85"/>
    <w:rsid w:val="004334CD"/>
    <w:rsid w:val="004470DD"/>
    <w:rsid w:val="00450144"/>
    <w:rsid w:val="004520BF"/>
    <w:rsid w:val="0045263F"/>
    <w:rsid w:val="00454832"/>
    <w:rsid w:val="0045571E"/>
    <w:rsid w:val="0047008C"/>
    <w:rsid w:val="004701BD"/>
    <w:rsid w:val="00472896"/>
    <w:rsid w:val="00473C89"/>
    <w:rsid w:val="004769BF"/>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7836"/>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207A"/>
    <w:rsid w:val="00632BC2"/>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33CB"/>
    <w:rsid w:val="00733E6B"/>
    <w:rsid w:val="00747A84"/>
    <w:rsid w:val="0075686C"/>
    <w:rsid w:val="00765453"/>
    <w:rsid w:val="00766384"/>
    <w:rsid w:val="007700CB"/>
    <w:rsid w:val="00770D8E"/>
    <w:rsid w:val="007742BC"/>
    <w:rsid w:val="00782D6D"/>
    <w:rsid w:val="00785B9E"/>
    <w:rsid w:val="007877EE"/>
    <w:rsid w:val="007918EB"/>
    <w:rsid w:val="00793326"/>
    <w:rsid w:val="00796563"/>
    <w:rsid w:val="007A0952"/>
    <w:rsid w:val="007A35CE"/>
    <w:rsid w:val="007B18C2"/>
    <w:rsid w:val="007C3C6C"/>
    <w:rsid w:val="007D2455"/>
    <w:rsid w:val="007D6E02"/>
    <w:rsid w:val="007F1713"/>
    <w:rsid w:val="007F29C1"/>
    <w:rsid w:val="007F3C87"/>
    <w:rsid w:val="008059D4"/>
    <w:rsid w:val="008061F4"/>
    <w:rsid w:val="00807234"/>
    <w:rsid w:val="00812045"/>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7954"/>
    <w:rsid w:val="00881380"/>
    <w:rsid w:val="008903B5"/>
    <w:rsid w:val="00890EE3"/>
    <w:rsid w:val="008957DF"/>
    <w:rsid w:val="0089581F"/>
    <w:rsid w:val="00895DA6"/>
    <w:rsid w:val="00896D4D"/>
    <w:rsid w:val="008A07A4"/>
    <w:rsid w:val="008A1515"/>
    <w:rsid w:val="008A5516"/>
    <w:rsid w:val="008A5CDE"/>
    <w:rsid w:val="008B5279"/>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40AF7"/>
    <w:rsid w:val="00952CA8"/>
    <w:rsid w:val="00952CD4"/>
    <w:rsid w:val="009535A7"/>
    <w:rsid w:val="00954521"/>
    <w:rsid w:val="009703FF"/>
    <w:rsid w:val="00973C3F"/>
    <w:rsid w:val="00974D97"/>
    <w:rsid w:val="009760CE"/>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317D"/>
    <w:rsid w:val="00A0352A"/>
    <w:rsid w:val="00A054BC"/>
    <w:rsid w:val="00A0651A"/>
    <w:rsid w:val="00A07A50"/>
    <w:rsid w:val="00A1293F"/>
    <w:rsid w:val="00A146B2"/>
    <w:rsid w:val="00A2030A"/>
    <w:rsid w:val="00A21957"/>
    <w:rsid w:val="00A221B3"/>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65291"/>
    <w:rsid w:val="00C73AAE"/>
    <w:rsid w:val="00C74467"/>
    <w:rsid w:val="00C7468E"/>
    <w:rsid w:val="00C85CD2"/>
    <w:rsid w:val="00C86F46"/>
    <w:rsid w:val="00C86FE4"/>
    <w:rsid w:val="00C92088"/>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E4ABF"/>
    <w:rsid w:val="00CF3B4D"/>
    <w:rsid w:val="00CF3E8B"/>
    <w:rsid w:val="00CF5B0B"/>
    <w:rsid w:val="00D060F7"/>
    <w:rsid w:val="00D14A4E"/>
    <w:rsid w:val="00D20BEA"/>
    <w:rsid w:val="00D27074"/>
    <w:rsid w:val="00D27EE1"/>
    <w:rsid w:val="00D31256"/>
    <w:rsid w:val="00D31C9E"/>
    <w:rsid w:val="00D3223F"/>
    <w:rsid w:val="00D36942"/>
    <w:rsid w:val="00D46533"/>
    <w:rsid w:val="00D47360"/>
    <w:rsid w:val="00D50C3A"/>
    <w:rsid w:val="00D549AE"/>
    <w:rsid w:val="00D572FC"/>
    <w:rsid w:val="00D70376"/>
    <w:rsid w:val="00D72633"/>
    <w:rsid w:val="00D754CC"/>
    <w:rsid w:val="00D81ED1"/>
    <w:rsid w:val="00D867E8"/>
    <w:rsid w:val="00D91071"/>
    <w:rsid w:val="00D92D6C"/>
    <w:rsid w:val="00D94BA3"/>
    <w:rsid w:val="00D9544D"/>
    <w:rsid w:val="00DA1341"/>
    <w:rsid w:val="00DC1FFC"/>
    <w:rsid w:val="00DC3EAD"/>
    <w:rsid w:val="00DD2659"/>
    <w:rsid w:val="00DE19C5"/>
    <w:rsid w:val="00DE7261"/>
    <w:rsid w:val="00DE749D"/>
    <w:rsid w:val="00DF226A"/>
    <w:rsid w:val="00DF774A"/>
    <w:rsid w:val="00E141C3"/>
    <w:rsid w:val="00E31B09"/>
    <w:rsid w:val="00E34230"/>
    <w:rsid w:val="00E35E96"/>
    <w:rsid w:val="00E37810"/>
    <w:rsid w:val="00E656A7"/>
    <w:rsid w:val="00E8044D"/>
    <w:rsid w:val="00E8153E"/>
    <w:rsid w:val="00E81595"/>
    <w:rsid w:val="00E86B97"/>
    <w:rsid w:val="00E92846"/>
    <w:rsid w:val="00E97175"/>
    <w:rsid w:val="00EA3C02"/>
    <w:rsid w:val="00EA6FF4"/>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F6073"/>
    <w:rsid w:val="00EF6074"/>
    <w:rsid w:val="00F10C26"/>
    <w:rsid w:val="00F163D8"/>
    <w:rsid w:val="00F21696"/>
    <w:rsid w:val="00F250B6"/>
    <w:rsid w:val="00F260CC"/>
    <w:rsid w:val="00F327AA"/>
    <w:rsid w:val="00F371B3"/>
    <w:rsid w:val="00F401B6"/>
    <w:rsid w:val="00F40DE0"/>
    <w:rsid w:val="00F449B5"/>
    <w:rsid w:val="00F4612F"/>
    <w:rsid w:val="00F4752C"/>
    <w:rsid w:val="00F64CDB"/>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1724</Words>
  <Characters>9833</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25</cp:revision>
  <dcterms:created xsi:type="dcterms:W3CDTF">2017-12-07T16:28:00Z</dcterms:created>
  <dcterms:modified xsi:type="dcterms:W3CDTF">2017-12-19T17:39:00Z</dcterms:modified>
</cp:coreProperties>
</file>