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100"/>
      </w:pPr>
      <w:r>
        <w:rPr>
          <w:rFonts w:ascii="Calibri" w:hAnsi="Calibri"/>
          <w:b/>
          <w:color w:val="176547"/>
          <w:sz w:val="18"/>
        </w:rPr>
        <w:t>PRESENTACIÓN · 10 MINUTOS</w:t>
      </w:r>
    </w:p>
    <w:p>
      <w:pPr>
        <w:pStyle w:val="Title"/>
      </w:pPr>
      <w:r>
        <w:rPr>
          <w:rFonts w:ascii="Calibri" w:hAnsi="Calibri"/>
          <w:b/>
          <w:color w:val="17211D"/>
          <w:sz w:val="60"/>
        </w:rPr>
        <w:t xml:space="preserve">Guion de </w:t>
      </w:r>
      <w:r>
        <w:rPr>
          <w:rFonts w:ascii="Calibri" w:hAnsi="Calibri"/>
          <w:b/>
          <w:color w:val="176547"/>
          <w:sz w:val="60"/>
        </w:rPr>
        <w:t>HabitIA</w:t>
      </w:r>
    </w:p>
    <w:p>
      <w:pPr>
        <w:pStyle w:val="Subtitle"/>
      </w:pPr>
      <w:r>
        <w:t>Solo lo que debes decir, con tiempos e indicaciones de escena</w:t>
      </w:r>
    </w:p>
    <w:tbl>
      <w:tblPr>
        <w:tblW w:type="dxa" w:w="9360"/>
        <w:jc w:val="left"/>
        <w:tblLayout w:type="fixed"/>
        <w:tblLook w:firstColumn="1" w:firstRow="1" w:lastColumn="0" w:lastRow="0" w:noHBand="0" w:noVBand="1" w:val="04A0"/>
        <w:tblLayout w:type="fixed"/>
        <w:tblInd w:w="120" w:type="dxa"/>
      </w:tblPr>
      <w:tblGrid>
        <w:gridCol w:w="2340"/>
        <w:gridCol w:w="2340"/>
        <w:gridCol w:w="2340"/>
        <w:gridCol w:w="2340"/>
      </w:tblGrid>
      <w:tr>
        <w:trPr>
          <w:tblHeader w:val="true"/>
        </w:trPr>
        <w:tc>
          <w:tcPr>
            <w:tcW w:type="dxa" w:w="2340"/>
            <w:shd w:fill="F6F5EF"/>
            <w:tcMar>
              <w:top w:w="120" w:type="dxa"/>
              <w:start w:w="100" w:type="dxa"/>
              <w:bottom w:w="120" w:type="dxa"/>
              <w:end w:w="100" w:type="dxa"/>
            </w:tcMar>
            <w:vAlign w:val="center"/>
          </w:tcPr>
          <w:p>
            <w:pPr>
              <w:spacing w:after="0"/>
              <w:jc w:val="center"/>
            </w:pPr>
            <w:r>
              <w:rPr>
                <w:rFonts w:ascii="Calibri" w:hAnsi="Calibri"/>
                <w:b/>
                <w:color w:val="176547"/>
                <w:sz w:val="26"/>
              </w:rPr>
              <w:t>0:00</w:t>
              <w:br/>
            </w:r>
            <w:r>
              <w:rPr>
                <w:rFonts w:ascii="Calibri" w:hAnsi="Calibri"/>
                <w:b/>
                <w:color w:val="68736D"/>
                <w:sz w:val="17"/>
              </w:rPr>
              <w:t>Vídeo</w:t>
            </w:r>
          </w:p>
        </w:tc>
        <w:tc>
          <w:tcPr>
            <w:tcW w:type="dxa" w:w="2340"/>
            <w:shd w:fill="EDF6EF"/>
            <w:tcMar>
              <w:top w:w="120" w:type="dxa"/>
              <w:start w:w="100" w:type="dxa"/>
              <w:bottom w:w="120" w:type="dxa"/>
              <w:end w:w="100" w:type="dxa"/>
            </w:tcMar>
            <w:vAlign w:val="center"/>
          </w:tcPr>
          <w:p>
            <w:pPr>
              <w:spacing w:after="0"/>
              <w:jc w:val="center"/>
            </w:pPr>
            <w:r>
              <w:rPr>
                <w:rFonts w:ascii="Calibri" w:hAnsi="Calibri"/>
                <w:b/>
                <w:color w:val="176547"/>
                <w:sz w:val="26"/>
              </w:rPr>
              <w:t>0:54</w:t>
              <w:br/>
            </w:r>
            <w:r>
              <w:rPr>
                <w:rFonts w:ascii="Calibri" w:hAnsi="Calibri"/>
                <w:b/>
                <w:color w:val="68736D"/>
                <w:sz w:val="17"/>
              </w:rPr>
              <w:t>Empiezas</w:t>
            </w:r>
          </w:p>
        </w:tc>
        <w:tc>
          <w:tcPr>
            <w:tcW w:type="dxa" w:w="2340"/>
            <w:shd w:fill="F6F5EF"/>
            <w:tcMar>
              <w:top w:w="120" w:type="dxa"/>
              <w:start w:w="100" w:type="dxa"/>
              <w:bottom w:w="120" w:type="dxa"/>
              <w:end w:w="100" w:type="dxa"/>
            </w:tcMar>
            <w:vAlign w:val="center"/>
          </w:tcPr>
          <w:p>
            <w:pPr>
              <w:spacing w:after="0"/>
              <w:jc w:val="center"/>
            </w:pPr>
            <w:r>
              <w:rPr>
                <w:rFonts w:ascii="Calibri" w:hAnsi="Calibri"/>
                <w:b/>
                <w:color w:val="176547"/>
                <w:sz w:val="26"/>
              </w:rPr>
              <w:t>9:30</w:t>
              <w:br/>
            </w:r>
            <w:r>
              <w:rPr>
                <w:rFonts w:ascii="Calibri" w:hAnsi="Calibri"/>
                <w:b/>
                <w:color w:val="68736D"/>
                <w:sz w:val="17"/>
              </w:rPr>
              <w:t>Cierre</w:t>
            </w:r>
          </w:p>
        </w:tc>
        <w:tc>
          <w:tcPr>
            <w:tcW w:type="dxa" w:w="2340"/>
            <w:shd w:fill="EDF6EF"/>
            <w:tcMar>
              <w:top w:w="120" w:type="dxa"/>
              <w:start w:w="100" w:type="dxa"/>
              <w:bottom w:w="120" w:type="dxa"/>
              <w:end w:w="100" w:type="dxa"/>
            </w:tcMar>
            <w:vAlign w:val="center"/>
          </w:tcPr>
          <w:p>
            <w:pPr>
              <w:spacing w:after="0"/>
              <w:jc w:val="center"/>
            </w:pPr>
            <w:r>
              <w:rPr>
                <w:rFonts w:ascii="Calibri" w:hAnsi="Calibri"/>
                <w:b/>
                <w:color w:val="176547"/>
                <w:sz w:val="26"/>
              </w:rPr>
              <w:t>10:00</w:t>
              <w:br/>
            </w:r>
            <w:r>
              <w:rPr>
                <w:rFonts w:ascii="Calibri" w:hAnsi="Calibri"/>
                <w:b/>
                <w:color w:val="68736D"/>
                <w:sz w:val="17"/>
              </w:rPr>
              <w:t>Gracias</w:t>
            </w:r>
          </w:p>
        </w:tc>
      </w:tr>
    </w:tbl>
    <w:p>
      <w:pPr>
        <w:spacing w:before="240" w:after="120"/>
      </w:pPr>
      <w:r>
        <w:rPr>
          <w:rFonts w:ascii="Calibri" w:hAnsi="Calibri"/>
          <w:b/>
          <w:color w:val="176547"/>
          <w:sz w:val="20"/>
        </w:rPr>
        <w:t xml:space="preserve">Cómo usarlo. </w:t>
      </w:r>
      <w:r>
        <w:rPr>
          <w:rFonts w:ascii="Calibri" w:hAnsi="Calibri"/>
          <w:color w:val="425149"/>
          <w:sz w:val="20"/>
        </w:rPr>
        <w:t>Las indicaciones marcadas como ACCIÓN no se pronuncian. El texto hablado contiene aproximadamente 1.127 palabras para los 9:06 posteriores al vídeo.</w:t>
      </w:r>
    </w:p>
    <w:p>
      <w:pPr>
        <w:keepNext/>
        <w:spacing w:before="280" w:after="60"/>
        <w:pBdr>
          <w:top w:val="single" w:sz="6" w:space="7" w:color="D7DDD8"/>
        </w:pBdr>
      </w:pPr>
      <w:r>
        <w:rPr>
          <w:rFonts w:ascii="Calibri" w:hAnsi="Calibri"/>
          <w:b/>
          <w:color w:val="176547"/>
          <w:sz w:val="19"/>
        </w:rPr>
        <w:t xml:space="preserve">00  </w:t>
      </w:r>
      <w:r>
        <w:rPr>
          <w:rFonts w:ascii="Calibri" w:hAnsi="Calibri"/>
          <w:b/>
          <w:color w:val="68736D"/>
          <w:sz w:val="19"/>
        </w:rPr>
        <w:t>0:00-0:54</w:t>
      </w:r>
    </w:p>
    <w:p>
      <w:pPr>
        <w:pStyle w:val="Heading1"/>
        <w:spacing w:before="0"/>
      </w:pPr>
      <w:r>
        <w:t>Vídeo promocional</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No hables. Mira al tribunal, deja que el vídeo termine y espera un segundo antes de continuar.</w:t>
      </w:r>
    </w:p>
    <w:p>
      <w:pPr>
        <w:keepNext/>
        <w:spacing w:before="280" w:after="60"/>
        <w:pBdr>
          <w:top w:val="single" w:sz="6" w:space="7" w:color="D7DDD8"/>
        </w:pBdr>
      </w:pPr>
      <w:r>
        <w:rPr>
          <w:rFonts w:ascii="Calibri" w:hAnsi="Calibri"/>
          <w:b/>
          <w:color w:val="176547"/>
          <w:sz w:val="19"/>
        </w:rPr>
        <w:t xml:space="preserve">01  </w:t>
      </w:r>
      <w:r>
        <w:rPr>
          <w:rFonts w:ascii="Calibri" w:hAnsi="Calibri"/>
          <w:b/>
          <w:color w:val="68736D"/>
          <w:sz w:val="19"/>
        </w:rPr>
        <w:t>0:54-1:40</w:t>
      </w:r>
    </w:p>
    <w:p>
      <w:pPr>
        <w:pStyle w:val="Heading1"/>
        <w:spacing w:before="0"/>
      </w:pPr>
      <w:r>
        <w:t>Tres preguntas, no una media</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Cuando termine el vídeo, avanza y empieza con calma.</w:t>
      </w:r>
    </w:p>
    <w:p>
      <w:pPr>
        <w:keepLines/>
        <w:spacing w:before="0" w:after="160" w:line="324" w:lineRule="auto"/>
      </w:pPr>
      <w:r>
        <w:rPr>
          <w:rFonts w:ascii="Calibri" w:hAnsi="Calibri"/>
          <w:b w:val="0"/>
          <w:i w:val="0"/>
          <w:color w:val="17211D"/>
          <w:sz w:val="23"/>
        </w:rPr>
        <w:t xml:space="preserve">Lo que acabamos de ver no es una maqueta. Detrás hay un modelo validado y una aplicación desplegada. El comprador suele recibir una media de precio por zona, pero esa media es demasiado gruesa. En el barrio mediano de Madrid, incluso el 50 % central de los anuncios ocupa una horquilla del </w:t>
      </w:r>
      <w:r>
        <w:rPr>
          <w:rFonts w:ascii="Calibri" w:hAnsi="Calibri"/>
          <w:b/>
          <w:i w:val="0"/>
          <w:color w:val="17211D"/>
          <w:sz w:val="23"/>
        </w:rPr>
        <w:t>30,5 % en euros por metro cuadrado</w:t>
      </w:r>
      <w:r>
        <w:rPr>
          <w:rFonts w:ascii="Calibri" w:hAnsi="Calibri"/>
          <w:b w:val="0"/>
          <w:i w:val="0"/>
          <w:color w:val="17211D"/>
          <w:sz w:val="23"/>
        </w:rPr>
        <w:t>. Por eso HabitIA no responde una sola pregunta, sino tres: cuánto debería valer este piso, cuánto podemos confiar en esa cifra y si el precio anunciado representa una oportunidad real. Cada pregunta requiere una técnica diferente y juntas convierten una media de mercado en una decisión explicable.</w:t>
      </w:r>
    </w:p>
    <w:p>
      <w:pPr>
        <w:keepNext/>
        <w:spacing w:before="280" w:after="60"/>
        <w:pBdr>
          <w:top w:val="single" w:sz="6" w:space="7" w:color="D7DDD8"/>
        </w:pBdr>
      </w:pPr>
      <w:r>
        <w:rPr>
          <w:rFonts w:ascii="Calibri" w:hAnsi="Calibri"/>
          <w:b/>
          <w:color w:val="176547"/>
          <w:sz w:val="19"/>
        </w:rPr>
        <w:t xml:space="preserve">02  </w:t>
      </w:r>
      <w:r>
        <w:rPr>
          <w:rFonts w:ascii="Calibri" w:hAnsi="Calibri"/>
          <w:b/>
          <w:color w:val="68736D"/>
          <w:sz w:val="19"/>
        </w:rPr>
        <w:t>1:40-2:40</w:t>
      </w:r>
    </w:p>
    <w:p>
      <w:pPr>
        <w:pStyle w:val="Heading1"/>
        <w:spacing w:before="0"/>
      </w:pPr>
      <w:r>
        <w:t>22 asignaturas, una cadena de decisión</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Señala brevemente los cuatro bloques, sin leer todas las asignaturas.</w:t>
      </w:r>
    </w:p>
    <w:p>
      <w:pPr>
        <w:keepLines/>
        <w:spacing w:before="0" w:after="160" w:line="324" w:lineRule="auto"/>
      </w:pPr>
      <w:r>
        <w:rPr>
          <w:rFonts w:ascii="Calibri" w:hAnsi="Calibri"/>
          <w:b w:val="0"/>
          <w:i w:val="0"/>
          <w:color w:val="17211D"/>
          <w:sz w:val="23"/>
        </w:rPr>
        <w:t xml:space="preserve">El criterio principal de esta presentación es cómo aplicamos lo aprendido en el máster. No intentamos marcar veintidós casillas ni introducir tecnología por catálogo. Organizamos el trabajo en cuatro capas. En ingeniería usamos Linux, Git, Python, SQL, procesamiento por lotes y despliegue. En datos y modelos aplicamos estadística, minería, análisis espacial, validación y distintos algoritmos de machine learning. En inteligencia artificial usamos NLP y modelos generativos para la interacción con el usuario. Y en producto aplicamos BI, visualización y data science orientada a negocio. También justificamos qué no usar. </w:t>
      </w:r>
      <w:r>
        <w:rPr>
          <w:rFonts w:ascii="Calibri" w:hAnsi="Calibri"/>
          <w:b/>
          <w:i w:val="0"/>
          <w:color w:val="17211D"/>
          <w:sz w:val="23"/>
        </w:rPr>
        <w:t>NoSQL, Spark, deep learning y RNN</w:t>
      </w:r>
      <w:r>
        <w:rPr>
          <w:rFonts w:ascii="Calibri" w:hAnsi="Calibri"/>
          <w:b w:val="0"/>
          <w:i w:val="0"/>
          <w:color w:val="17211D"/>
          <w:sz w:val="23"/>
        </w:rPr>
        <w:t xml:space="preserve"> se evaluaron, pero no eran la mejor respuesta para 94.852 filas tabulares, una persistencia relacional y un conjunto sin secuencias largas ni imágenes de interior. No usar también es método cuando la decisión está razonada.</w:t>
      </w:r>
    </w:p>
    <w:p>
      <w:pPr>
        <w:keepNext/>
        <w:spacing w:before="280" w:after="60"/>
        <w:pBdr>
          <w:top w:val="single" w:sz="6" w:space="7" w:color="D7DDD8"/>
        </w:pBdr>
      </w:pPr>
      <w:r>
        <w:rPr>
          <w:rFonts w:ascii="Calibri" w:hAnsi="Calibri"/>
          <w:b/>
          <w:color w:val="176547"/>
          <w:sz w:val="19"/>
        </w:rPr>
        <w:t xml:space="preserve">03  </w:t>
      </w:r>
      <w:r>
        <w:rPr>
          <w:rFonts w:ascii="Calibri" w:hAnsi="Calibri"/>
          <w:b/>
          <w:color w:val="68736D"/>
          <w:sz w:val="19"/>
        </w:rPr>
        <w:t>2:40-3:45</w:t>
      </w:r>
    </w:p>
    <w:p>
      <w:pPr>
        <w:pStyle w:val="Heading1"/>
        <w:spacing w:before="0"/>
      </w:pPr>
      <w:r>
        <w:t>Del anuncio sucio a una matriz fiable</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Recorre las cuatro cifras de izquierda a derecha.</w:t>
      </w:r>
    </w:p>
    <w:p>
      <w:pPr>
        <w:keepLines/>
        <w:spacing w:before="0" w:after="160" w:line="324" w:lineRule="auto"/>
      </w:pPr>
      <w:r>
        <w:rPr>
          <w:rFonts w:ascii="Calibri" w:hAnsi="Calibri"/>
          <w:b w:val="0"/>
          <w:i w:val="0"/>
          <w:color w:val="17211D"/>
          <w:sz w:val="23"/>
        </w:rPr>
        <w:t xml:space="preserve">Partimos de </w:t>
      </w:r>
      <w:r>
        <w:rPr>
          <w:rFonts w:ascii="Calibri" w:hAnsi="Calibri"/>
          <w:b/>
          <w:i w:val="0"/>
          <w:color w:val="17211D"/>
          <w:sz w:val="23"/>
        </w:rPr>
        <w:t>94.852 anuncios reales</w:t>
      </w:r>
      <w:r>
        <w:rPr>
          <w:rFonts w:ascii="Calibri" w:hAnsi="Calibri"/>
          <w:b w:val="0"/>
          <w:i w:val="0"/>
          <w:color w:val="17211D"/>
          <w:sz w:val="23"/>
        </w:rPr>
        <w:t xml:space="preserve"> de vivienda en Madrid durante los cuatro trimestres de 2018; no son datos sintéticos. Los cruzamos espacialmente con cartografía del INE y referencias de alquiler del MITMA hasta obtener </w:t>
      </w:r>
      <w:r>
        <w:rPr>
          <w:rFonts w:ascii="Calibri" w:hAnsi="Calibri"/>
          <w:b/>
          <w:i w:val="0"/>
          <w:color w:val="17211D"/>
          <w:sz w:val="23"/>
        </w:rPr>
        <w:t>2.440 secciones censales</w:t>
      </w:r>
      <w:r>
        <w:rPr>
          <w:rFonts w:ascii="Calibri" w:hAnsi="Calibri"/>
          <w:b w:val="0"/>
          <w:i w:val="0"/>
          <w:color w:val="17211D"/>
          <w:sz w:val="23"/>
        </w:rPr>
        <w:t xml:space="preserve">, una granularidad mucho mayor que la del barrio. Después aplicamos reglas de calidad explícitas: retiramos coordenadas fuera de Madrid, viviendas sin barrio, estructuras imposibles y las colas extremas del precio. Eliminamos solo un 1,3 % y conservamos </w:t>
      </w:r>
      <w:r>
        <w:rPr>
          <w:rFonts w:ascii="Calibri" w:hAnsi="Calibri"/>
          <w:b/>
          <w:i w:val="0"/>
          <w:color w:val="17211D"/>
          <w:sz w:val="23"/>
        </w:rPr>
        <w:t>93.619 registros válidos</w:t>
      </w:r>
      <w:r>
        <w:rPr>
          <w:rFonts w:ascii="Calibri" w:hAnsi="Calibri"/>
          <w:b w:val="0"/>
          <w:i w:val="0"/>
          <w:color w:val="17211D"/>
          <w:sz w:val="23"/>
        </w:rPr>
        <w:t xml:space="preserve">. Sobre 41 variables útiles construimos 17 candidatas relacionadas con proporciones, geometría y territorio. La matriz candidata tuvo 58 variables; tras la selección, el modelo final conserva 54. La partición por activo dejó </w:t>
      </w:r>
      <w:r>
        <w:rPr>
          <w:rFonts w:ascii="Calibri" w:hAnsi="Calibri"/>
          <w:b/>
          <w:i w:val="0"/>
          <w:color w:val="17211D"/>
          <w:sz w:val="23"/>
        </w:rPr>
        <w:t>70.203 filas para entrenar y 23.416 para probar</w:t>
      </w:r>
      <w:r>
        <w:rPr>
          <w:rFonts w:ascii="Calibri" w:hAnsi="Calibri"/>
          <w:b w:val="0"/>
          <w:i w:val="0"/>
          <w:color w:val="17211D"/>
          <w:sz w:val="23"/>
        </w:rPr>
        <w:t>, sin valores ausentes y evitando que la misma vivienda apareciera a ambos lados.</w:t>
      </w:r>
    </w:p>
    <w:p>
      <w:pPr>
        <w:keepNext/>
        <w:spacing w:before="280" w:after="60"/>
        <w:pBdr>
          <w:top w:val="single" w:sz="6" w:space="7" w:color="D7DDD8"/>
        </w:pBdr>
      </w:pPr>
      <w:r>
        <w:rPr>
          <w:rFonts w:ascii="Calibri" w:hAnsi="Calibri"/>
          <w:b/>
          <w:color w:val="176547"/>
          <w:sz w:val="19"/>
        </w:rPr>
        <w:t xml:space="preserve">04  </w:t>
      </w:r>
      <w:r>
        <w:rPr>
          <w:rFonts w:ascii="Calibri" w:hAnsi="Calibri"/>
          <w:b/>
          <w:color w:val="68736D"/>
          <w:sz w:val="19"/>
        </w:rPr>
        <w:t>3:45-4:50</w:t>
      </w:r>
    </w:p>
    <w:p>
      <w:pPr>
        <w:pStyle w:val="Heading1"/>
        <w:spacing w:before="0"/>
      </w:pPr>
      <w:r>
        <w:t>Diseñamos cómo fallar antes de entrenar</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Haz una pausa corta después de cada riesgo.</w:t>
      </w:r>
    </w:p>
    <w:p>
      <w:pPr>
        <w:keepLines/>
        <w:spacing w:before="0" w:after="160" w:line="324" w:lineRule="auto"/>
      </w:pPr>
      <w:r>
        <w:rPr>
          <w:rFonts w:ascii="Calibri" w:hAnsi="Calibri"/>
          <w:b w:val="0"/>
          <w:i w:val="0"/>
          <w:color w:val="17211D"/>
          <w:sz w:val="23"/>
        </w:rPr>
        <w:t xml:space="preserve">Antes de entrenar fijamos cómo podíamos engañarnos. Primero, un mismo activo puede repetirse entre trimestres; por eso dividimos por </w:t>
      </w:r>
      <w:r>
        <w:rPr>
          <w:rFonts w:ascii="Calibri" w:hAnsi="Calibri"/>
          <w:b/>
          <w:i w:val="0"/>
          <w:color w:val="17211D"/>
          <w:sz w:val="23"/>
        </w:rPr>
        <w:t>ASSETID</w:t>
      </w:r>
      <w:r>
        <w:rPr>
          <w:rFonts w:ascii="Calibri" w:hAnsi="Calibri"/>
          <w:b w:val="0"/>
          <w:i w:val="0"/>
          <w:color w:val="17211D"/>
          <w:sz w:val="23"/>
        </w:rPr>
        <w:t xml:space="preserve"> y no por filas aleatorias. Segundo, variables como UNITPRICE contienen el precio objetivo de forma indirecta; si las hubiéramos dejado, un AutoML habría anunciado menos del 3 % de error con un modelo inútil. Tercero, las codificaciones de barrio pueden mirar el precio de su propia vivienda. Las calculamos fuera de muestra con cinco bloques. Y cuarto, una partición estándar no responde si el modelo funcionará mañana o en una zona nueva. Añadimos un holdout temporal, entrenando con Q1 a Q3 y prediciendo Q4, y una validación que oculta barrios completos. Decidimos principalmente con </w:t>
      </w:r>
      <w:r>
        <w:rPr>
          <w:rFonts w:ascii="Calibri" w:hAnsi="Calibri"/>
          <w:b/>
          <w:i w:val="0"/>
          <w:color w:val="17211D"/>
          <w:sz w:val="23"/>
        </w:rPr>
        <w:t>MdAPE</w:t>
      </w:r>
      <w:r>
        <w:rPr>
          <w:rFonts w:ascii="Calibri" w:hAnsi="Calibri"/>
          <w:b w:val="0"/>
          <w:i w:val="0"/>
          <w:color w:val="17211D"/>
          <w:sz w:val="23"/>
        </w:rPr>
        <w:t>, el error porcentual absoluto mediano, y lo acompañamos con el porcentaje dentro de más o menos 10 %, MAE en euros y R cuadrado sobre el logaritmo del precio.</w:t>
      </w:r>
    </w:p>
    <w:p>
      <w:pPr>
        <w:keepNext/>
        <w:spacing w:before="280" w:after="60"/>
        <w:pBdr>
          <w:top w:val="single" w:sz="6" w:space="7" w:color="D7DDD8"/>
        </w:pBdr>
      </w:pPr>
      <w:r>
        <w:rPr>
          <w:rFonts w:ascii="Calibri" w:hAnsi="Calibri"/>
          <w:b/>
          <w:color w:val="176547"/>
          <w:sz w:val="19"/>
        </w:rPr>
        <w:t xml:space="preserve">05  </w:t>
      </w:r>
      <w:r>
        <w:rPr>
          <w:rFonts w:ascii="Calibri" w:hAnsi="Calibri"/>
          <w:b/>
          <w:color w:val="68736D"/>
          <w:sz w:val="19"/>
        </w:rPr>
        <w:t>4:50-6:05</w:t>
      </w:r>
    </w:p>
    <w:p>
      <w:pPr>
        <w:pStyle w:val="Heading1"/>
        <w:spacing w:before="0"/>
      </w:pPr>
      <w:r>
        <w:t>Cada modelo justificó su complejidad</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Baja visualmente por la escalera de modelos y termina mirando al tribunal.</w:t>
      </w:r>
    </w:p>
    <w:p>
      <w:pPr>
        <w:keepLines/>
        <w:spacing w:before="0" w:after="160" w:line="324" w:lineRule="auto"/>
      </w:pPr>
      <w:r>
        <w:rPr>
          <w:rFonts w:ascii="Calibri" w:hAnsi="Calibri"/>
          <w:b w:val="0"/>
          <w:i w:val="0"/>
          <w:color w:val="17211D"/>
          <w:sz w:val="23"/>
        </w:rPr>
        <w:t xml:space="preserve">Construimos una escalera para medir qué aportaba cada nivel de complejidad. La regla que usa el mercado, precio por metro cuadrado mediano del barrio multiplicado por superficie, comete un </w:t>
      </w:r>
      <w:r>
        <w:rPr>
          <w:rFonts w:ascii="Calibri" w:hAnsi="Calibri"/>
          <w:b/>
          <w:i w:val="0"/>
          <w:color w:val="17211D"/>
          <w:sz w:val="23"/>
        </w:rPr>
        <w:t>15,40 % de error mediano</w:t>
      </w:r>
      <w:r>
        <w:rPr>
          <w:rFonts w:ascii="Calibri" w:hAnsi="Calibri"/>
          <w:b w:val="0"/>
          <w:i w:val="0"/>
          <w:color w:val="17211D"/>
          <w:sz w:val="23"/>
        </w:rPr>
        <w:t xml:space="preserve">. Un modelo Ridge hedónico baja a 10,94 %. Random Forest llega a 8,65 %, XGBoost a 8,71 % y LightGBM ajustado a 8,45 %. El stacking de cuatro modelos apenas mejora una centésima, hasta 8,44 %. Eso ya indicaba que los datos y el primer modelo multivariante aportaban mucho más que seguir acumulando algoritmos. La ablación confirmó el resultado más importante. Cuando eliminamos toda la información territorial, el error sube de 8,20 % a 12,46 %: </w:t>
      </w:r>
      <w:r>
        <w:rPr>
          <w:rFonts w:ascii="Calibri" w:hAnsi="Calibri"/>
          <w:b/>
          <w:i w:val="0"/>
          <w:color w:val="17211D"/>
          <w:sz w:val="23"/>
        </w:rPr>
        <w:t>la localización vale 4,25 puntos de MdAPE</w:t>
      </w:r>
      <w:r>
        <w:rPr>
          <w:rFonts w:ascii="Calibri" w:hAnsi="Calibri"/>
          <w:b w:val="0"/>
          <w:i w:val="0"/>
          <w:color w:val="17211D"/>
          <w:sz w:val="23"/>
        </w:rPr>
        <w:t xml:space="preserve">. Sin embargo, las cuatro codificaciones espaciales que habíamos construido empeoraban el resultado en 0,25 puntos. Por eso elegimos el modelo más simple y mejor: </w:t>
      </w:r>
      <w:r>
        <w:rPr>
          <w:rFonts w:ascii="Calibri" w:hAnsi="Calibri"/>
          <w:b/>
          <w:i w:val="0"/>
          <w:color w:val="17211D"/>
          <w:sz w:val="23"/>
        </w:rPr>
        <w:t>LightGBM, 54 variables y 8,20 % de MdAPE</w:t>
      </w:r>
      <w:r>
        <w:rPr>
          <w:rFonts w:ascii="Calibri" w:hAnsi="Calibri"/>
          <w:b w:val="0"/>
          <w:i w:val="0"/>
          <w:color w:val="17211D"/>
          <w:sz w:val="23"/>
        </w:rPr>
        <w:t>. Menos error, menos variables y menos mantenimiento.</w:t>
      </w:r>
    </w:p>
    <w:p>
      <w:pPr>
        <w:keepNext/>
        <w:spacing w:before="280" w:after="60"/>
        <w:pBdr>
          <w:top w:val="single" w:sz="6" w:space="7" w:color="D7DDD8"/>
        </w:pBdr>
      </w:pPr>
      <w:r>
        <w:rPr>
          <w:rFonts w:ascii="Calibri" w:hAnsi="Calibri"/>
          <w:b/>
          <w:color w:val="176547"/>
          <w:sz w:val="19"/>
        </w:rPr>
        <w:t xml:space="preserve">06  </w:t>
      </w:r>
      <w:r>
        <w:rPr>
          <w:rFonts w:ascii="Calibri" w:hAnsi="Calibri"/>
          <w:b/>
          <w:color w:val="68736D"/>
          <w:sz w:val="19"/>
        </w:rPr>
        <w:t>6:05-7:00</w:t>
      </w:r>
    </w:p>
    <w:p>
      <w:pPr>
        <w:pStyle w:val="Heading1"/>
        <w:spacing w:before="0"/>
      </w:pPr>
      <w:r>
        <w:t>Un número no basta: hace falta un rango</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Señala primero el punto central y después los extremos de la banda.</w:t>
      </w:r>
    </w:p>
    <w:p>
      <w:pPr>
        <w:keepLines/>
        <w:spacing w:before="0" w:after="160" w:line="324" w:lineRule="auto"/>
      </w:pPr>
      <w:r>
        <w:rPr>
          <w:rFonts w:ascii="Calibri" w:hAnsi="Calibri"/>
          <w:b w:val="0"/>
          <w:i w:val="0"/>
          <w:color w:val="17211D"/>
          <w:sz w:val="23"/>
        </w:rPr>
        <w:t xml:space="preserve">Una predicción puntual puede parecer precisa aunque el modelo esté dudando. Entrenamos tres LightGBM cuantílicos para los cuantiles 5, 50 y 95, de manera que cada vivienda recibiera un valor central y dos límites. Pero la primera banda solo contenía el precio real en el </w:t>
      </w:r>
      <w:r>
        <w:rPr>
          <w:rFonts w:ascii="Calibri" w:hAnsi="Calibri"/>
          <w:b/>
          <w:i w:val="0"/>
          <w:color w:val="17211D"/>
          <w:sz w:val="23"/>
        </w:rPr>
        <w:t>72,4 %</w:t>
      </w:r>
      <w:r>
        <w:rPr>
          <w:rFonts w:ascii="Calibri" w:hAnsi="Calibri"/>
          <w:b w:val="0"/>
          <w:i w:val="0"/>
          <w:color w:val="17211D"/>
          <w:sz w:val="23"/>
        </w:rPr>
        <w:t xml:space="preserve"> de los casos, lejos del 90 % que buscábamos. Reservamos un 20 % del entrenamiento que esos modelos nunca vieron y aplicamos conformalización CQR. La cobertura subió al </w:t>
      </w:r>
      <w:r>
        <w:rPr>
          <w:rFonts w:ascii="Calibri" w:hAnsi="Calibri"/>
          <w:b/>
          <w:i w:val="0"/>
          <w:color w:val="17211D"/>
          <w:sz w:val="23"/>
        </w:rPr>
        <w:t>89,8 %</w:t>
      </w:r>
      <w:r>
        <w:rPr>
          <w:rFonts w:ascii="Calibri" w:hAnsi="Calibri"/>
          <w:b w:val="0"/>
          <w:i w:val="0"/>
          <w:color w:val="17211D"/>
          <w:sz w:val="23"/>
        </w:rPr>
        <w:t>, prácticamente el objetivo nominal. El intervalo nos permite distinguir una posible ganga de una vivienda difícil de valorar. SHAP explica qué atributos empujan cada precio hacia arriba o hacia abajo; el intervalo explica cuándo debemos confiar menos.</w:t>
      </w:r>
    </w:p>
    <w:p>
      <w:pPr>
        <w:keepNext/>
        <w:spacing w:before="280" w:after="60"/>
        <w:pBdr>
          <w:top w:val="single" w:sz="6" w:space="7" w:color="D7DDD8"/>
        </w:pBdr>
      </w:pPr>
      <w:r>
        <w:rPr>
          <w:rFonts w:ascii="Calibri" w:hAnsi="Calibri"/>
          <w:b/>
          <w:color w:val="176547"/>
          <w:sz w:val="19"/>
        </w:rPr>
        <w:t xml:space="preserve">07  </w:t>
      </w:r>
      <w:r>
        <w:rPr>
          <w:rFonts w:ascii="Calibri" w:hAnsi="Calibri"/>
          <w:b/>
          <w:color w:val="68736D"/>
          <w:sz w:val="19"/>
        </w:rPr>
        <w:t>7:00-7:55</w:t>
      </w:r>
    </w:p>
    <w:p>
      <w:pPr>
        <w:pStyle w:val="Heading1"/>
        <w:spacing w:before="0"/>
      </w:pPr>
      <w:r>
        <w:t>Precisión útil, no universal</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Da énfasis al 47 % y baja el tono al presentar la limitación geográfica.</w:t>
      </w:r>
    </w:p>
    <w:p>
      <w:pPr>
        <w:keepLines/>
        <w:spacing w:before="0" w:after="160" w:line="324" w:lineRule="auto"/>
      </w:pPr>
      <w:r>
        <w:rPr>
          <w:rFonts w:ascii="Calibri" w:hAnsi="Calibri"/>
          <w:b w:val="0"/>
          <w:i w:val="0"/>
          <w:color w:val="17211D"/>
          <w:sz w:val="23"/>
        </w:rPr>
        <w:t xml:space="preserve">En los </w:t>
      </w:r>
      <w:r>
        <w:rPr>
          <w:rFonts w:ascii="Calibri" w:hAnsi="Calibri"/>
          <w:b/>
          <w:i w:val="0"/>
          <w:color w:val="17211D"/>
          <w:sz w:val="23"/>
        </w:rPr>
        <w:t>23.416 activos de prueba</w:t>
      </w:r>
      <w:r>
        <w:rPr>
          <w:rFonts w:ascii="Calibri" w:hAnsi="Calibri"/>
          <w:b w:val="0"/>
          <w:i w:val="0"/>
          <w:color w:val="17211D"/>
          <w:sz w:val="23"/>
        </w:rPr>
        <w:t xml:space="preserve">, HabitIA reduce el MdAPE de 15,40 % a 8,20 %. Eso equivale a un </w:t>
      </w:r>
      <w:r>
        <w:rPr>
          <w:rFonts w:ascii="Calibri" w:hAnsi="Calibri"/>
          <w:b/>
          <w:i w:val="0"/>
          <w:color w:val="17211D"/>
          <w:sz w:val="23"/>
        </w:rPr>
        <w:t>47 % menos de error relativo</w:t>
      </w:r>
      <w:r>
        <w:rPr>
          <w:rFonts w:ascii="Calibri" w:hAnsi="Calibri"/>
          <w:b w:val="0"/>
          <w:i w:val="0"/>
          <w:color w:val="17211D"/>
          <w:sz w:val="23"/>
        </w:rPr>
        <w:t xml:space="preserve"> frente a la regla del sector. Además, el 57,6 % de las viviendas queda dentro de más o menos 10 % del precio real. En la prueba temporal, entrenando con Q1 a Q3 y prediciendo Q4, el error sube solo a </w:t>
      </w:r>
      <w:r>
        <w:rPr>
          <w:rFonts w:ascii="Calibri" w:hAnsi="Calibri"/>
          <w:b/>
          <w:i w:val="0"/>
          <w:color w:val="17211D"/>
          <w:sz w:val="23"/>
        </w:rPr>
        <w:t>9,72 %</w:t>
      </w:r>
      <w:r>
        <w:rPr>
          <w:rFonts w:ascii="Calibri" w:hAnsi="Calibri"/>
          <w:b w:val="0"/>
          <w:i w:val="0"/>
          <w:color w:val="17211D"/>
          <w:sz w:val="23"/>
        </w:rPr>
        <w:t xml:space="preserve">. La validación geográfica marca el límite: al ocultar barrios completos, el error llega a </w:t>
      </w:r>
      <w:r>
        <w:rPr>
          <w:rFonts w:ascii="Calibri" w:hAnsi="Calibri"/>
          <w:b/>
          <w:i w:val="0"/>
          <w:color w:val="17211D"/>
          <w:sz w:val="23"/>
        </w:rPr>
        <w:t>19,86 %</w:t>
      </w:r>
      <w:r>
        <w:rPr>
          <w:rFonts w:ascii="Calibri" w:hAnsi="Calibri"/>
          <w:b w:val="0"/>
          <w:i w:val="0"/>
          <w:color w:val="17211D"/>
          <w:sz w:val="23"/>
        </w:rPr>
        <w:t>. El modelo funciona cuando dispone de historia local; un mercado nuevo exige datos propios y reentrenamiento.</w:t>
      </w:r>
    </w:p>
    <w:p>
      <w:pPr>
        <w:keepNext/>
        <w:spacing w:before="280" w:after="60"/>
        <w:pBdr>
          <w:top w:val="single" w:sz="6" w:space="7" w:color="D7DDD8"/>
        </w:pBdr>
      </w:pPr>
      <w:r>
        <w:rPr>
          <w:rFonts w:ascii="Calibri" w:hAnsi="Calibri"/>
          <w:b/>
          <w:color w:val="176547"/>
          <w:sz w:val="19"/>
        </w:rPr>
        <w:t xml:space="preserve">08  </w:t>
      </w:r>
      <w:r>
        <w:rPr>
          <w:rFonts w:ascii="Calibri" w:hAnsi="Calibri"/>
          <w:b/>
          <w:color w:val="68736D"/>
          <w:sz w:val="19"/>
        </w:rPr>
        <w:t>7:55-8:45</w:t>
      </w:r>
    </w:p>
    <w:p>
      <w:pPr>
        <w:pStyle w:val="Heading1"/>
        <w:spacing w:before="0"/>
      </w:pPr>
      <w:r>
        <w:t>Barato no es lo mismo que infravalorado</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Contrasta con la mano izquierda la regla ingenua y con la derecha la señal de HabitIA.</w:t>
      </w:r>
    </w:p>
    <w:p>
      <w:pPr>
        <w:keepLines/>
        <w:spacing w:before="0" w:after="160" w:line="324" w:lineRule="auto"/>
      </w:pPr>
      <w:r>
        <w:rPr>
          <w:rFonts w:ascii="Calibri" w:hAnsi="Calibri"/>
          <w:b w:val="0"/>
          <w:i w:val="0"/>
          <w:color w:val="17211D"/>
          <w:sz w:val="23"/>
        </w:rPr>
        <w:t xml:space="preserve">Definimos una oportunidad únicamente cuando el precio anunciado cae por debajo del límite inferior del intervalo. Así identificamos </w:t>
      </w:r>
      <w:r>
        <w:rPr>
          <w:rFonts w:ascii="Calibri" w:hAnsi="Calibri"/>
          <w:b/>
          <w:i w:val="0"/>
          <w:color w:val="17211D"/>
          <w:sz w:val="23"/>
        </w:rPr>
        <w:t>1.271 viviendas</w:t>
      </w:r>
      <w:r>
        <w:rPr>
          <w:rFonts w:ascii="Calibri" w:hAnsi="Calibri"/>
          <w:b w:val="0"/>
          <w:i w:val="0"/>
          <w:color w:val="17211D"/>
          <w:sz w:val="23"/>
        </w:rPr>
        <w:t xml:space="preserve">, el 5,4 % del test, con un descuento mediano cercano al </w:t>
      </w:r>
      <w:r>
        <w:rPr>
          <w:rFonts w:ascii="Calibri" w:hAnsi="Calibri"/>
          <w:b/>
          <w:i w:val="0"/>
          <w:color w:val="17211D"/>
          <w:sz w:val="23"/>
        </w:rPr>
        <w:t>28 %</w:t>
      </w:r>
      <w:r>
        <w:rPr>
          <w:rFonts w:ascii="Calibri" w:hAnsi="Calibri"/>
          <w:b w:val="0"/>
          <w:i w:val="0"/>
          <w:color w:val="17211D"/>
          <w:sz w:val="23"/>
        </w:rPr>
        <w:t xml:space="preserve"> y un ahorro mediano de </w:t>
      </w:r>
      <w:r>
        <w:rPr>
          <w:rFonts w:ascii="Calibri" w:hAnsi="Calibri"/>
          <w:b/>
          <w:i w:val="0"/>
          <w:color w:val="17211D"/>
          <w:sz w:val="23"/>
        </w:rPr>
        <w:t>60.106 euros</w:t>
      </w:r>
      <w:r>
        <w:rPr>
          <w:rFonts w:ascii="Calibri" w:hAnsi="Calibri"/>
          <w:b w:val="0"/>
          <w:i w:val="0"/>
          <w:color w:val="17211D"/>
          <w:sz w:val="23"/>
        </w:rPr>
        <w:t xml:space="preserve"> frente al precio justo estimado. La regla de escoger los mismos 1.271 precios por metro cuadrado más bajos concentra el </w:t>
      </w:r>
      <w:r>
        <w:rPr>
          <w:rFonts w:ascii="Calibri" w:hAnsi="Calibri"/>
          <w:b/>
          <w:i w:val="0"/>
          <w:color w:val="17211D"/>
          <w:sz w:val="23"/>
        </w:rPr>
        <w:t>71,7 % en solo tres distritos</w:t>
      </w:r>
      <w:r>
        <w:rPr>
          <w:rFonts w:ascii="Calibri" w:hAnsi="Calibri"/>
          <w:b w:val="0"/>
          <w:i w:val="0"/>
          <w:color w:val="17211D"/>
          <w:sz w:val="23"/>
        </w:rPr>
        <w:t xml:space="preserve">: confunde una zona barata con una ganga. Comparamos entonces dentro de cada distrito. Con muestra suficiente, nuestras oportunidades rentan más en </w:t>
      </w:r>
      <w:r>
        <w:rPr>
          <w:rFonts w:ascii="Calibri" w:hAnsi="Calibri"/>
          <w:b/>
          <w:i w:val="0"/>
          <w:color w:val="17211D"/>
          <w:sz w:val="23"/>
        </w:rPr>
        <w:t>19 de 19 distritos</w:t>
      </w:r>
      <w:r>
        <w:rPr>
          <w:rFonts w:ascii="Calibri" w:hAnsi="Calibri"/>
          <w:b w:val="0"/>
          <w:i w:val="0"/>
          <w:color w:val="17211D"/>
          <w:sz w:val="23"/>
        </w:rPr>
        <w:t xml:space="preserve">, con una ventaja mediana de </w:t>
      </w:r>
      <w:r>
        <w:rPr>
          <w:rFonts w:ascii="Calibri" w:hAnsi="Calibri"/>
          <w:b/>
          <w:i w:val="0"/>
          <w:color w:val="17211D"/>
          <w:sz w:val="23"/>
        </w:rPr>
        <w:t>2,06 puntos porcentuales</w:t>
      </w:r>
      <w:r>
        <w:rPr>
          <w:rFonts w:ascii="Calibri" w:hAnsi="Calibri"/>
          <w:b w:val="0"/>
          <w:i w:val="0"/>
          <w:color w:val="17211D"/>
          <w:sz w:val="23"/>
        </w:rPr>
        <w:t xml:space="preserve"> y un contraste de Wilcoxon significativo.</w:t>
      </w:r>
    </w:p>
    <w:p>
      <w:pPr>
        <w:keepNext/>
        <w:spacing w:before="280" w:after="60"/>
        <w:pBdr>
          <w:top w:val="single" w:sz="6" w:space="7" w:color="D7DDD8"/>
        </w:pBdr>
      </w:pPr>
      <w:r>
        <w:rPr>
          <w:rFonts w:ascii="Calibri" w:hAnsi="Calibri"/>
          <w:b/>
          <w:color w:val="176547"/>
          <w:sz w:val="19"/>
        </w:rPr>
        <w:t xml:space="preserve">09  </w:t>
      </w:r>
      <w:r>
        <w:rPr>
          <w:rFonts w:ascii="Calibri" w:hAnsi="Calibri"/>
          <w:b/>
          <w:color w:val="68736D"/>
          <w:sz w:val="19"/>
        </w:rPr>
        <w:t>8:45-9:30</w:t>
      </w:r>
    </w:p>
    <w:p>
      <w:pPr>
        <w:pStyle w:val="Heading1"/>
        <w:spacing w:before="0"/>
      </w:pPr>
      <w:r>
        <w:t>El modelo vive dentro de un producto</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Sigue el flujo de arquitectura de izquierda a derecha.</w:t>
      </w:r>
    </w:p>
    <w:p>
      <w:pPr>
        <w:keepLines/>
        <w:spacing w:before="0" w:after="160" w:line="324" w:lineRule="auto"/>
      </w:pPr>
      <w:r>
        <w:rPr>
          <w:rFonts w:ascii="Calibri" w:hAnsi="Calibri"/>
          <w:b w:val="0"/>
          <w:i w:val="0"/>
          <w:color w:val="17211D"/>
          <w:sz w:val="23"/>
        </w:rPr>
        <w:t xml:space="preserve">La innovación no termina en LightGBM. HabitIA integra la predicción, el intervalo y un agente conversacional en una aplicación desplegada. El agente interpreta lenguaje natural y orquesta </w:t>
      </w:r>
      <w:r>
        <w:rPr>
          <w:rFonts w:ascii="Calibri" w:hAnsi="Calibri"/>
          <w:b/>
          <w:i w:val="0"/>
          <w:color w:val="17211D"/>
          <w:sz w:val="23"/>
        </w:rPr>
        <w:t>ocho herramientas</w:t>
      </w:r>
      <w:r>
        <w:rPr>
          <w:rFonts w:ascii="Calibri" w:hAnsi="Calibri"/>
          <w:b w:val="0"/>
          <w:i w:val="0"/>
          <w:color w:val="17211D"/>
          <w:sz w:val="23"/>
        </w:rPr>
        <w:t xml:space="preserve"> para buscar, valorar, financiar y comparar viviendas. Un servicio Python procesa la búsqueda por lote; Next.js transmite los resultados y Supabase aporta persistencia. Si una API falla, el sistema muestra las señales disponibles y comunica el error en lugar de inventar. El usuario no recibe ocho respuestas técnicas, sino una recomendación trazable y explicada.</w:t>
      </w:r>
    </w:p>
    <w:p>
      <w:pPr>
        <w:keepNext/>
        <w:spacing w:before="280" w:after="60"/>
        <w:pBdr>
          <w:top w:val="single" w:sz="6" w:space="7" w:color="D7DDD8"/>
        </w:pBdr>
      </w:pPr>
      <w:r>
        <w:rPr>
          <w:rFonts w:ascii="Calibri" w:hAnsi="Calibri"/>
          <w:b/>
          <w:color w:val="176547"/>
          <w:sz w:val="19"/>
        </w:rPr>
        <w:t xml:space="preserve">10  </w:t>
      </w:r>
      <w:r>
        <w:rPr>
          <w:rFonts w:ascii="Calibri" w:hAnsi="Calibri"/>
          <w:b/>
          <w:color w:val="68736D"/>
          <w:sz w:val="19"/>
        </w:rPr>
        <w:t>9:30-10:00</w:t>
      </w:r>
    </w:p>
    <w:p>
      <w:pPr>
        <w:pStyle w:val="Heading1"/>
        <w:spacing w:before="0"/>
      </w:pPr>
      <w:r>
        <w:t>Conclusión</w:t>
      </w:r>
    </w:p>
    <w:p>
      <w:pPr>
        <w:keepNext/>
        <w:spacing w:before="0" w:after="140"/>
        <w:ind w:left="202" w:right="115"/>
        <w:shd w:fill="EDF6EF"/>
        <w:pBdr>
          <w:left w:val="single" w:sz="16" w:space="4" w:color="176547"/>
        </w:pBdr>
      </w:pPr>
      <w:r>
        <w:rPr>
          <w:rFonts w:ascii="Calibri" w:hAnsi="Calibri"/>
          <w:b/>
          <w:color w:val="176547"/>
          <w:sz w:val="17"/>
        </w:rPr>
        <w:t xml:space="preserve">ACCIÓN  </w:t>
      </w:r>
      <w:r>
        <w:rPr>
          <w:rFonts w:ascii="Calibri" w:hAnsi="Calibri"/>
          <w:i/>
          <w:color w:val="425149"/>
          <w:sz w:val="19"/>
        </w:rPr>
        <w:t>Mira al tribunal. No añadas otra explicación después de 'Gracias'.</w:t>
      </w:r>
    </w:p>
    <w:p>
      <w:pPr>
        <w:keepLines/>
        <w:spacing w:before="0" w:after="160" w:line="324" w:lineRule="auto"/>
      </w:pPr>
      <w:r>
        <w:rPr>
          <w:rFonts w:ascii="Calibri" w:hAnsi="Calibri"/>
          <w:b w:val="0"/>
          <w:i w:val="0"/>
          <w:color w:val="17211D"/>
          <w:sz w:val="23"/>
        </w:rPr>
        <w:t xml:space="preserve">HabitIA aporta cuatro resultados: </w:t>
      </w:r>
      <w:r>
        <w:rPr>
          <w:rFonts w:ascii="Calibri" w:hAnsi="Calibri"/>
          <w:b/>
          <w:i w:val="0"/>
          <w:color w:val="17211D"/>
          <w:sz w:val="23"/>
        </w:rPr>
        <w:t>47 % menos error</w:t>
      </w:r>
      <w:r>
        <w:rPr>
          <w:rFonts w:ascii="Calibri" w:hAnsi="Calibri"/>
          <w:b w:val="0"/>
          <w:i w:val="0"/>
          <w:color w:val="17211D"/>
          <w:sz w:val="23"/>
        </w:rPr>
        <w:t xml:space="preserve">; </w:t>
      </w:r>
      <w:r>
        <w:rPr>
          <w:rFonts w:ascii="Calibri" w:hAnsi="Calibri"/>
          <w:b/>
          <w:i w:val="0"/>
          <w:color w:val="17211D"/>
          <w:sz w:val="23"/>
        </w:rPr>
        <w:t>4,25 puntos</w:t>
      </w:r>
      <w:r>
        <w:rPr>
          <w:rFonts w:ascii="Calibri" w:hAnsi="Calibri"/>
          <w:b w:val="0"/>
          <w:i w:val="0"/>
          <w:color w:val="17211D"/>
          <w:sz w:val="23"/>
        </w:rPr>
        <w:t xml:space="preserve"> que cuantifican la ubicación; una banda con </w:t>
      </w:r>
      <w:r>
        <w:rPr>
          <w:rFonts w:ascii="Calibri" w:hAnsi="Calibri"/>
          <w:b/>
          <w:i w:val="0"/>
          <w:color w:val="17211D"/>
          <w:sz w:val="23"/>
        </w:rPr>
        <w:t>89,8 % de cobertura</w:t>
      </w:r>
      <w:r>
        <w:rPr>
          <w:rFonts w:ascii="Calibri" w:hAnsi="Calibri"/>
          <w:b w:val="0"/>
          <w:i w:val="0"/>
          <w:color w:val="17211D"/>
          <w:sz w:val="23"/>
        </w:rPr>
        <w:t xml:space="preserve">; y una señal que gana en </w:t>
      </w:r>
      <w:r>
        <w:rPr>
          <w:rFonts w:ascii="Calibri" w:hAnsi="Calibri"/>
          <w:b/>
          <w:i w:val="0"/>
          <w:color w:val="17211D"/>
          <w:sz w:val="23"/>
        </w:rPr>
        <w:t>19 de 19 distritos</w:t>
      </w:r>
      <w:r>
        <w:rPr>
          <w:rFonts w:ascii="Calibri" w:hAnsi="Calibri"/>
          <w:b w:val="0"/>
          <w:i w:val="0"/>
          <w:color w:val="17211D"/>
          <w:sz w:val="23"/>
        </w:rPr>
        <w:t xml:space="preserve">. Reconoce también sus límites: usa precios de oferta de 2018 y necesita historia local. Convertimos incertidumbre en una decisión comprensible. </w:t>
      </w:r>
      <w:r>
        <w:rPr>
          <w:rFonts w:ascii="Calibri" w:hAnsi="Calibri"/>
          <w:b/>
          <w:i w:val="0"/>
          <w:color w:val="17211D"/>
          <w:sz w:val="23"/>
        </w:rPr>
        <w:t>Gracias.</w:t>
      </w:r>
    </w:p>
    <w:p>
      <w:pPr>
        <w:spacing w:before="280" w:after="0"/>
        <w:shd w:fill="F6F5EF"/>
        <w:pBdr>
          <w:left w:val="single" w:sz="16" w:space="5" w:color="D7A817"/>
        </w:pBdr>
      </w:pPr>
      <w:r>
        <w:rPr>
          <w:rFonts w:ascii="Calibri" w:hAnsi="Calibri"/>
          <w:b/>
          <w:color w:val="D7A817"/>
          <w:sz w:val="17"/>
        </w:rPr>
        <w:t xml:space="preserve">REGLA FINAL  </w:t>
      </w:r>
      <w:r>
        <w:rPr>
          <w:rFonts w:ascii="Calibri" w:hAnsi="Calibri"/>
          <w:color w:val="17211D"/>
          <w:sz w:val="21"/>
        </w:rPr>
        <w:t>Si te sobra tiempo, haz una pausa. No añadas una explicación nueva después de 'Gracias'.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Layout w:type="fixed"/>
      <w:tblInd w:w="120" w:type="dxa"/>
    </w:tblPr>
    <w:tblGrid>
      <w:gridCol w:w="7200"/>
      <w:gridCol w:w="2160"/>
    </w:tblGrid>
    <w:tr>
      <w:trPr>
        <w:tblHeader w:val="true"/>
      </w:trPr>
      <w:tc>
        <w:tcPr>
          <w:tcW w:type="dxa" w:w="7200"/>
          <w:tcMar>
            <w:top w:w="120" w:type="dxa"/>
            <w:start w:w="100" w:type="dxa"/>
            <w:bottom w:w="120" w:type="dxa"/>
            <w:end w:w="100" w:type="dxa"/>
          </w:tcMar>
          <w:vAlign w:val="center"/>
        </w:tcPr>
        <w:p>
          <w:pPr>
            <w:spacing w:after="0"/>
          </w:pPr>
          <w:r>
            <w:rPr>
              <w:rFonts w:ascii="Calibri" w:hAnsi="Calibri"/>
              <w:color w:val="68736D"/>
              <w:sz w:val="17"/>
            </w:rPr>
            <w:t>HabitIA · Presentación de 10 minutos</w:t>
          </w:r>
        </w:p>
      </w:tc>
      <w:tc>
        <w:tcPr>
          <w:tcW w:type="dxa" w:w="2160"/>
          <w:tcMar>
            <w:top w:w="120" w:type="dxa"/>
            <w:start w:w="100" w:type="dxa"/>
            <w:bottom w:w="120" w:type="dxa"/>
            <w:end w:w="100" w:type="dxa"/>
          </w:tcMar>
          <w:vAlign w:val="center"/>
        </w:tcPr>
        <w:p>
          <w:pPr>
            <w:spacing w:after="0"/>
            <w:jc w:val="right"/>
          </w:pPr>
          <w:r>
            <w:rPr>
              <w:rFonts w:ascii="Calibri" w:hAnsi="Calibri"/>
              <w:color w:val="68736D"/>
              <w:sz w:val="17"/>
            </w:rPr>
            <w:t xml:space="preserve">Página </w:t>
          </w:r>
          <w:r>
            <w:rPr>
              <w:rFonts w:ascii="Calibri" w:hAnsi="Calibri"/>
              <w:color w:val="68736D"/>
              <w:sz w:val="17"/>
            </w:rPr>
            <w:fldChar w:fldCharType="begin"/>
            <w:instrText xml:space="preserve"> PAGE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3" w:color="D7DDD8"/>
      </w:pBdr>
    </w:pPr>
    <w:r>
      <w:rPr>
        <w:rFonts w:ascii="Calibri" w:hAnsi="Calibri"/>
        <w:b/>
        <w:color w:val="17211D"/>
        <w:sz w:val="18"/>
      </w:rPr>
      <w:t>Habit</w:t>
    </w:r>
    <w:r>
      <w:rPr>
        <w:rFonts w:ascii="Calibri" w:hAnsi="Calibri"/>
        <w:b/>
        <w:color w:val="176547"/>
        <w:sz w:val="18"/>
      </w:rPr>
      <w:t>IA</w:t>
    </w:r>
    <w:r>
      <w:rPr>
        <w:rFonts w:ascii="Calibri" w:hAnsi="Calibri"/>
        <w:color w:val="68736D"/>
        <w:sz w:val="18"/>
      </w:rPr>
      <w:t xml:space="preserve">   |   Guion de presentación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7211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160"/>
      <w:outlineLvl w:val="0"/>
    </w:pPr>
    <w:rPr>
      <w:rFonts w:asciiTheme="majorHAnsi" w:eastAsiaTheme="majorEastAsia" w:hAnsiTheme="majorHAnsi" w:cstheme="majorBidi" w:ascii="Calibri" w:hAnsi="Calibri"/>
      <w:b/>
      <w:bCs/>
      <w:color w:val="17654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65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17211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60"/>
    </w:pPr>
    <w:rPr>
      <w:rFonts w:asciiTheme="majorHAnsi" w:eastAsiaTheme="majorEastAsia" w:hAnsiTheme="majorHAnsi" w:cstheme="majorBidi" w:ascii="Calibri" w:hAnsi="Calibri"/>
      <w:i/>
      <w:iCs/>
      <w:color w:val="42514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Guion HabitIA - 10 minutos</dc:title>
  <dc:subject>Texto completo para la presentación del TFM HabitIA</dc:subject>
  <dc:creator>Equipo HabitIA</dc:creator>
  <cp:keywords/>
  <dc:description>generated by python-docx</dc:description>
  <cp:lastModifiedBy/>
  <cp:revision>1</cp:revision>
  <dcterms:created xsi:type="dcterms:W3CDTF">2013-12-23T23:15:00Z</dcterms:created>
  <dcterms:modified xsi:type="dcterms:W3CDTF">2013-12-23T23:15:00Z</dcterms:modified>
  <cp:category/>
</cp:coreProperties>
</file>