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C700F1" w14:textId="77777777" w:rsidR="003F7990" w:rsidRDefault="003F7990" w:rsidP="001D26E1">
      <w:pPr>
        <w:jc w:val="center"/>
        <w:rPr>
          <w:sz w:val="40"/>
        </w:rPr>
      </w:pPr>
    </w:p>
    <w:p w14:paraId="5F3BA6CD" w14:textId="755BF094" w:rsidR="001A6287" w:rsidRPr="008D0722" w:rsidRDefault="00E96186" w:rsidP="001D26E1">
      <w:pPr>
        <w:jc w:val="center"/>
        <w:rPr>
          <w:sz w:val="40"/>
        </w:rPr>
      </w:pPr>
      <w:r>
        <w:rPr>
          <w:sz w:val="40"/>
        </w:rPr>
        <w:t>Study of the el</w:t>
      </w:r>
      <w:r w:rsidR="00301324">
        <w:rPr>
          <w:sz w:val="40"/>
        </w:rPr>
        <w:t xml:space="preserve">ectromagnetic background </w:t>
      </w:r>
      <w:r w:rsidR="005758E8">
        <w:rPr>
          <w:sz w:val="40"/>
        </w:rPr>
        <w:t>rates in CLAS12</w:t>
      </w:r>
    </w:p>
    <w:p w14:paraId="0E7AEB54" w14:textId="77777777" w:rsidR="008D0722" w:rsidRDefault="008D0722" w:rsidP="008D0722">
      <w:pPr>
        <w:jc w:val="center"/>
      </w:pPr>
    </w:p>
    <w:p w14:paraId="1CA2BBBA" w14:textId="34ED1EF9" w:rsidR="008418AB" w:rsidRDefault="003F7990" w:rsidP="005758E8">
      <w:pPr>
        <w:jc w:val="center"/>
        <w:outlineLvl w:val="0"/>
      </w:pPr>
      <w:r>
        <w:t>R. De Vita</w:t>
      </w:r>
    </w:p>
    <w:p w14:paraId="2A08899E" w14:textId="77777777" w:rsidR="008D0722" w:rsidRPr="008D0722" w:rsidRDefault="008D0722" w:rsidP="008D0722">
      <w:pPr>
        <w:jc w:val="center"/>
        <w:rPr>
          <w:i/>
        </w:rPr>
      </w:pPr>
      <w:r w:rsidRPr="008D0722">
        <w:rPr>
          <w:i/>
        </w:rPr>
        <w:t xml:space="preserve">Istituto Nazionale di Fisica Nucleare - Sezione di Genova, </w:t>
      </w:r>
    </w:p>
    <w:p w14:paraId="24942AF9" w14:textId="77777777" w:rsidR="008D0722" w:rsidRDefault="008D0722" w:rsidP="008D0722">
      <w:pPr>
        <w:jc w:val="center"/>
        <w:rPr>
          <w:i/>
        </w:rPr>
      </w:pPr>
      <w:r w:rsidRPr="008D0722">
        <w:rPr>
          <w:i/>
        </w:rPr>
        <w:t>Via Dodecaneso 33, 16146 Italy</w:t>
      </w:r>
    </w:p>
    <w:p w14:paraId="2503BABB" w14:textId="77777777" w:rsidR="006C6C5B" w:rsidRDefault="006C6C5B" w:rsidP="003F7990">
      <w:pPr>
        <w:jc w:val="center"/>
      </w:pPr>
    </w:p>
    <w:p w14:paraId="33E2EEF3" w14:textId="7D15DB01" w:rsidR="003F7990" w:rsidRDefault="00451B0F" w:rsidP="005758E8">
      <w:pPr>
        <w:jc w:val="center"/>
        <w:outlineLvl w:val="0"/>
      </w:pPr>
      <w:r>
        <w:t xml:space="preserve">D. </w:t>
      </w:r>
      <w:r w:rsidR="00B728B5">
        <w:t xml:space="preserve">S. </w:t>
      </w:r>
      <w:r>
        <w:t xml:space="preserve">Carman, </w:t>
      </w:r>
      <w:r w:rsidR="00FF174A">
        <w:t xml:space="preserve">C. Smith, S. Stepanyan, </w:t>
      </w:r>
      <w:r w:rsidR="003F7990">
        <w:t>M. Ungaro</w:t>
      </w:r>
    </w:p>
    <w:p w14:paraId="23F5A1B1" w14:textId="77777777" w:rsidR="003F7990" w:rsidRDefault="003F7990" w:rsidP="003F7990">
      <w:pPr>
        <w:jc w:val="center"/>
        <w:rPr>
          <w:i/>
        </w:rPr>
      </w:pPr>
      <w:r w:rsidRPr="008D0722">
        <w:rPr>
          <w:i/>
        </w:rPr>
        <w:t>Jefferson Lab, 12000 Jefferson Avenue, 23606 Newport News, V</w:t>
      </w:r>
      <w:r>
        <w:rPr>
          <w:i/>
        </w:rPr>
        <w:t>A</w:t>
      </w:r>
      <w:r w:rsidRPr="008D0722">
        <w:rPr>
          <w:i/>
        </w:rPr>
        <w:t>, USA</w:t>
      </w:r>
    </w:p>
    <w:p w14:paraId="682A2539" w14:textId="77777777" w:rsidR="003F7990" w:rsidRPr="008D0722" w:rsidRDefault="003F7990" w:rsidP="008D0722">
      <w:pPr>
        <w:jc w:val="center"/>
        <w:rPr>
          <w:i/>
        </w:rPr>
      </w:pPr>
    </w:p>
    <w:p w14:paraId="073D8FAB" w14:textId="77777777" w:rsidR="00C50004" w:rsidRDefault="00C50004" w:rsidP="008D0722">
      <w:pPr>
        <w:jc w:val="center"/>
        <w:rPr>
          <w:i/>
        </w:rPr>
      </w:pPr>
    </w:p>
    <w:p w14:paraId="24DC1A97" w14:textId="77777777" w:rsidR="001D26E1" w:rsidRPr="008D0722" w:rsidRDefault="001D26E1" w:rsidP="008D0722">
      <w:pPr>
        <w:jc w:val="center"/>
        <w:rPr>
          <w:i/>
        </w:rPr>
      </w:pPr>
    </w:p>
    <w:p w14:paraId="5FBD4B04" w14:textId="77777777" w:rsidR="008418AB" w:rsidRPr="008D0722" w:rsidRDefault="008418AB" w:rsidP="005758E8">
      <w:pPr>
        <w:jc w:val="center"/>
        <w:outlineLvl w:val="0"/>
        <w:rPr>
          <w:b/>
          <w:sz w:val="28"/>
        </w:rPr>
      </w:pPr>
      <w:r w:rsidRPr="008D0722">
        <w:rPr>
          <w:b/>
          <w:sz w:val="28"/>
        </w:rPr>
        <w:t>Abstract</w:t>
      </w:r>
    </w:p>
    <w:p w14:paraId="308FCED4" w14:textId="77777777" w:rsidR="00CF5A33" w:rsidRDefault="00CF5A33" w:rsidP="00324C0C">
      <w:pPr>
        <w:jc w:val="both"/>
      </w:pPr>
    </w:p>
    <w:p w14:paraId="7BF3C59F" w14:textId="21A17F33" w:rsidR="008418AB" w:rsidRDefault="008418AB" w:rsidP="00324C0C">
      <w:pPr>
        <w:jc w:val="both"/>
      </w:pPr>
      <w:r w:rsidRPr="008418AB">
        <w:t xml:space="preserve">Simulations of beam-related background were performed </w:t>
      </w:r>
      <w:r w:rsidR="00F04DD4">
        <w:t xml:space="preserve">for </w:t>
      </w:r>
      <w:r w:rsidR="00F76AE5">
        <w:t>two CLAS12 configurations: FT operational and FT present but not operational.</w:t>
      </w:r>
      <w:r w:rsidR="0024080F">
        <w:t xml:space="preserve"> </w:t>
      </w:r>
      <w:r w:rsidR="00F76AE5">
        <w:t xml:space="preserve">The rates in various </w:t>
      </w:r>
      <w:r w:rsidR="00883A40">
        <w:t>detectors were calculated: Drift Chambers (DC), High Threshold Cerenkov Counter (HTCC), Forward Time-Of-Flight (FTOF), Forward Tagger (FT) and the electromagnetic calorimeter (EC</w:t>
      </w:r>
      <w:r w:rsidR="00B728B5">
        <w:t>AL</w:t>
      </w:r>
      <w:r w:rsidR="00883A40">
        <w:t>).</w:t>
      </w:r>
      <w:r w:rsidR="00DC3473">
        <w:t xml:space="preserve"> The geometry includes the latest engineering models of the target, beamline, vacuum line, torus and shielding. </w:t>
      </w:r>
    </w:p>
    <w:p w14:paraId="24D137DF" w14:textId="77777777" w:rsidR="00A9787A" w:rsidRDefault="00A9787A"/>
    <w:p w14:paraId="3F77C56E" w14:textId="77777777" w:rsidR="00A9787A" w:rsidRDefault="00A9787A"/>
    <w:p w14:paraId="6FF42360" w14:textId="77777777" w:rsidR="00C50004" w:rsidRDefault="00C50004"/>
    <w:p w14:paraId="03FE1822" w14:textId="422866D0" w:rsidR="00C50004" w:rsidRPr="00F130E7" w:rsidRDefault="009B4BFD" w:rsidP="005758E8">
      <w:pPr>
        <w:outlineLvl w:val="0"/>
        <w:rPr>
          <w:b/>
          <w:sz w:val="28"/>
        </w:rPr>
      </w:pPr>
      <w:r>
        <w:rPr>
          <w:b/>
          <w:sz w:val="28"/>
        </w:rPr>
        <w:t>Simulated Detector, Beam and Target C</w:t>
      </w:r>
      <w:r w:rsidR="004A1F89">
        <w:rPr>
          <w:b/>
          <w:sz w:val="28"/>
        </w:rPr>
        <w:t>onfiguration</w:t>
      </w:r>
    </w:p>
    <w:p w14:paraId="024FB495" w14:textId="77777777" w:rsidR="00324BAD" w:rsidRDefault="00324BAD" w:rsidP="004D314A">
      <w:pPr>
        <w:jc w:val="both"/>
      </w:pPr>
    </w:p>
    <w:p w14:paraId="6D51F961" w14:textId="47F5DBD8" w:rsidR="0096562C" w:rsidRDefault="0096562C" w:rsidP="0096562C">
      <w:pPr>
        <w:jc w:val="both"/>
      </w:pPr>
      <w:r>
        <w:t xml:space="preserve">This simulation study is based on the </w:t>
      </w:r>
      <w:r w:rsidR="00AD1D98">
        <w:t xml:space="preserve">two </w:t>
      </w:r>
      <w:r>
        <w:t>CLAS12 standard configuration</w:t>
      </w:r>
      <w:r w:rsidR="00AD1D98">
        <w:t>s</w:t>
      </w:r>
      <w:r>
        <w:t>. The Moller cone geometry corresponds to the final engineering design [1]</w:t>
      </w:r>
      <w:r w:rsidR="002B71C6">
        <w:t>, [2], [3]</w:t>
      </w:r>
      <w:r>
        <w:t xml:space="preserve">. The </w:t>
      </w:r>
      <w:r w:rsidR="009131F8">
        <w:t xml:space="preserve">beamline, target, </w:t>
      </w:r>
      <w:r>
        <w:t>shielding</w:t>
      </w:r>
      <w:r w:rsidR="009131F8">
        <w:t>, torus components</w:t>
      </w:r>
      <w:r>
        <w:t xml:space="preserve"> and vacuum beamline geometry were incorporated in geant4 directly from the engineering CAD models.</w:t>
      </w:r>
    </w:p>
    <w:p w14:paraId="7CD8EE67" w14:textId="0C2A207A" w:rsidR="0096562C" w:rsidRDefault="0096562C" w:rsidP="0096562C">
      <w:pPr>
        <w:jc w:val="both"/>
      </w:pPr>
      <w:r>
        <w:t xml:space="preserve">For each event, </w:t>
      </w:r>
      <w:r w:rsidR="0030513B">
        <w:t>124</w:t>
      </w:r>
      <w:r>
        <w:t>,000 electrons going through the target within a 250</w:t>
      </w:r>
      <w:r w:rsidR="00B728B5">
        <w:t xml:space="preserve"> </w:t>
      </w:r>
      <w:r>
        <w:t>ns time window were simulated. This corresponds to the full CLAS12 10</w:t>
      </w:r>
      <w:r w:rsidRPr="00E23E57">
        <w:rPr>
          <w:vertAlign w:val="superscript"/>
        </w:rPr>
        <w:t>3</w:t>
      </w:r>
      <w:r>
        <w:rPr>
          <w:vertAlign w:val="superscript"/>
        </w:rPr>
        <w:t>5</w:t>
      </w:r>
      <w:r>
        <w:t xml:space="preserve"> cm</w:t>
      </w:r>
      <w:r w:rsidRPr="00E23E57">
        <w:rPr>
          <w:vertAlign w:val="superscript"/>
        </w:rPr>
        <w:t>-2</w:t>
      </w:r>
      <w:r>
        <w:t>s</w:t>
      </w:r>
      <w:r w:rsidRPr="00E23E57">
        <w:rPr>
          <w:vertAlign w:val="superscript"/>
        </w:rPr>
        <w:t>-1</w:t>
      </w:r>
      <w:r>
        <w:t xml:space="preserve"> luminosity</w:t>
      </w:r>
      <w:r w:rsidR="003F398C">
        <w:t xml:space="preserve"> on a 5cm LH2 target.</w:t>
      </w:r>
      <w:r w:rsidR="00E05D93">
        <w:t xml:space="preserve"> Simulations were performed for both 10.6 GeV and 6.4 GeV beam energy. Here results for the highest energy are reported: </w:t>
      </w:r>
      <w:r w:rsidR="003C28DE">
        <w:t>rates and occupancies</w:t>
      </w:r>
      <w:r w:rsidR="00E05D93">
        <w:t xml:space="preserve"> for the lower energy were anyway found to be s</w:t>
      </w:r>
      <w:r w:rsidR="003C28DE">
        <w:t>imilar with differences of the order of 10%.</w:t>
      </w:r>
    </w:p>
    <w:p w14:paraId="293EE27A" w14:textId="04E7B03B" w:rsidR="0096562C" w:rsidRDefault="0096562C" w:rsidP="0096562C">
      <w:pPr>
        <w:jc w:val="both"/>
      </w:pPr>
      <w:r>
        <w:t>The geometr</w:t>
      </w:r>
      <w:r w:rsidR="00795D7A">
        <w:t>ies</w:t>
      </w:r>
      <w:r>
        <w:t xml:space="preserve"> of the two configuration</w:t>
      </w:r>
      <w:r w:rsidR="00795D7A">
        <w:t>s</w:t>
      </w:r>
      <w:r>
        <w:t xml:space="preserve"> </w:t>
      </w:r>
      <w:r w:rsidR="00795D7A">
        <w:t>are</w:t>
      </w:r>
      <w:r w:rsidR="00B728B5">
        <w:t xml:space="preserve"> </w:t>
      </w:r>
      <w:r w:rsidR="00795D7A">
        <w:t>described below</w:t>
      </w:r>
      <w:r>
        <w:t>:</w:t>
      </w:r>
    </w:p>
    <w:p w14:paraId="54260A5F" w14:textId="77777777" w:rsidR="0096562C" w:rsidRDefault="0096562C" w:rsidP="0096562C">
      <w:pPr>
        <w:jc w:val="both"/>
      </w:pPr>
    </w:p>
    <w:p w14:paraId="194985C8" w14:textId="2611D692" w:rsidR="0096562C" w:rsidRDefault="0096562C" w:rsidP="0096562C">
      <w:pPr>
        <w:pStyle w:val="ListParagraph"/>
        <w:numPr>
          <w:ilvl w:val="0"/>
          <w:numId w:val="2"/>
        </w:numPr>
        <w:jc w:val="both"/>
      </w:pPr>
      <w:r>
        <w:t xml:space="preserve">FTOn: FT is operational. The </w:t>
      </w:r>
      <w:r w:rsidR="00B728B5">
        <w:t xml:space="preserve">Moller </w:t>
      </w:r>
      <w:r>
        <w:t>shield starts at z=877</w:t>
      </w:r>
      <w:r w:rsidR="00B728B5">
        <w:t xml:space="preserve"> </w:t>
      </w:r>
      <w:r>
        <w:t>mm from the target center.</w:t>
      </w:r>
    </w:p>
    <w:p w14:paraId="0493A562" w14:textId="77777777" w:rsidR="0096562C" w:rsidRDefault="0096562C" w:rsidP="0096562C">
      <w:pPr>
        <w:pStyle w:val="ListParagraph"/>
        <w:jc w:val="both"/>
      </w:pPr>
    </w:p>
    <w:p w14:paraId="349DF9FC" w14:textId="1561718A" w:rsidR="0096562C" w:rsidRDefault="0096562C" w:rsidP="0096562C">
      <w:pPr>
        <w:pStyle w:val="ListParagraph"/>
        <w:numPr>
          <w:ilvl w:val="0"/>
          <w:numId w:val="2"/>
        </w:numPr>
        <w:jc w:val="both"/>
      </w:pPr>
      <w:r>
        <w:t xml:space="preserve">FTOff: FT is present but not operational. The FT tracker is replaced by shielding. The </w:t>
      </w:r>
      <w:r w:rsidR="00B728B5">
        <w:t xml:space="preserve">Moller </w:t>
      </w:r>
      <w:r>
        <w:t>shield starts at z=430</w:t>
      </w:r>
      <w:r w:rsidR="00B728B5">
        <w:t xml:space="preserve"> </w:t>
      </w:r>
      <w:r>
        <w:t>mm from the target center, and additional shielding is present to connect it to the FT.</w:t>
      </w:r>
    </w:p>
    <w:p w14:paraId="4FB102E5" w14:textId="77777777" w:rsidR="00B06782" w:rsidRDefault="00B06782"/>
    <w:p w14:paraId="4CAC7719" w14:textId="06F43C70" w:rsidR="00DA6D90" w:rsidRDefault="0096562C" w:rsidP="002250C6">
      <w:r>
        <w:t>The two configurations are shown in Figure 1.</w:t>
      </w:r>
      <w:r w:rsidR="00A04D5B">
        <w:t xml:space="preserve"> For the </w:t>
      </w:r>
      <w:r w:rsidR="00D6602A">
        <w:t>FTOn configuration both polarities of the torus field were simulated.</w:t>
      </w:r>
    </w:p>
    <w:p w14:paraId="7B9DF3FF" w14:textId="77777777" w:rsidR="0096562C" w:rsidRDefault="0096562C" w:rsidP="002250C6"/>
    <w:p w14:paraId="19A705F4" w14:textId="77777777" w:rsidR="0096562C" w:rsidRDefault="0096562C" w:rsidP="002250C6"/>
    <w:p w14:paraId="493905AE" w14:textId="77777777" w:rsidR="00EB7B17" w:rsidRDefault="00EB7B17" w:rsidP="002250C6">
      <w:r>
        <w:rPr>
          <w:noProof/>
        </w:rPr>
        <w:drawing>
          <wp:inline distT="0" distB="0" distL="0" distR="0" wp14:anchorId="2D9A0283" wp14:editId="7F3252A4">
            <wp:extent cx="5394960" cy="3653270"/>
            <wp:effectExtent l="0" t="0" r="0" b="4445"/>
            <wp:docPr id="12" name="Picture 12" descr="../../../gemc/clas12Tags/f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mc/clas12Tags/ft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3653270"/>
                    </a:xfrm>
                    <a:prstGeom prst="rect">
                      <a:avLst/>
                    </a:prstGeom>
                    <a:noFill/>
                    <a:ln>
                      <a:noFill/>
                    </a:ln>
                  </pic:spPr>
                </pic:pic>
              </a:graphicData>
            </a:graphic>
          </wp:inline>
        </w:drawing>
      </w:r>
    </w:p>
    <w:p w14:paraId="128BB6BD" w14:textId="77777777" w:rsidR="00EB7B17" w:rsidRDefault="00EB7B17" w:rsidP="002250C6"/>
    <w:p w14:paraId="379C314A" w14:textId="2B9BC971" w:rsidR="0096562C" w:rsidRDefault="003F3539" w:rsidP="002250C6">
      <w:r>
        <w:rPr>
          <w:noProof/>
        </w:rPr>
        <w:drawing>
          <wp:inline distT="0" distB="0" distL="0" distR="0" wp14:anchorId="36E8FD53" wp14:editId="3029B9B8">
            <wp:extent cx="5394960" cy="3613331"/>
            <wp:effectExtent l="0" t="0" r="0" b="0"/>
            <wp:docPr id="11" name="Picture 11" descr="../../../gemc/clas12Tags/f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mc/clas12Tags/ftO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613331"/>
                    </a:xfrm>
                    <a:prstGeom prst="rect">
                      <a:avLst/>
                    </a:prstGeom>
                    <a:noFill/>
                    <a:ln>
                      <a:noFill/>
                    </a:ln>
                  </pic:spPr>
                </pic:pic>
              </a:graphicData>
            </a:graphic>
          </wp:inline>
        </w:drawing>
      </w:r>
    </w:p>
    <w:p w14:paraId="0A787092" w14:textId="77777777" w:rsidR="001E2325" w:rsidRDefault="001E2325" w:rsidP="001E2325">
      <w:pPr>
        <w:jc w:val="both"/>
      </w:pPr>
    </w:p>
    <w:p w14:paraId="07F6151E" w14:textId="7354F4CD" w:rsidR="003F398C" w:rsidRDefault="001E2325" w:rsidP="003F398C">
      <w:pPr>
        <w:jc w:val="both"/>
        <w:rPr>
          <w:i/>
          <w:sz w:val="22"/>
        </w:rPr>
      </w:pPr>
      <w:r>
        <w:rPr>
          <w:i/>
          <w:sz w:val="22"/>
        </w:rPr>
        <w:t>Figure 1: The two possible CLAS12 configurations. Top: FTOn</w:t>
      </w:r>
      <w:r w:rsidR="00B728B5">
        <w:rPr>
          <w:i/>
          <w:sz w:val="22"/>
        </w:rPr>
        <w:t>;</w:t>
      </w:r>
      <w:r>
        <w:rPr>
          <w:i/>
          <w:sz w:val="22"/>
        </w:rPr>
        <w:t xml:space="preserve"> the FT is operational. To clear its acceptance at forward angles (2</w:t>
      </w:r>
      <w:r w:rsidR="00B728B5">
        <w:rPr>
          <w:i/>
          <w:sz w:val="22"/>
        </w:rPr>
        <w:t>.</w:t>
      </w:r>
      <w:r>
        <w:rPr>
          <w:i/>
          <w:sz w:val="22"/>
        </w:rPr>
        <w:t>5</w:t>
      </w:r>
      <w:r w:rsidRPr="001E2325">
        <w:rPr>
          <w:i/>
          <w:sz w:val="22"/>
          <w:vertAlign w:val="superscript"/>
        </w:rPr>
        <w:t>0</w:t>
      </w:r>
      <w:r>
        <w:rPr>
          <w:i/>
          <w:sz w:val="22"/>
        </w:rPr>
        <w:t>-</w:t>
      </w:r>
      <w:r w:rsidR="00B728B5">
        <w:rPr>
          <w:i/>
          <w:sz w:val="22"/>
        </w:rPr>
        <w:t>4.</w:t>
      </w:r>
      <w:r>
        <w:rPr>
          <w:i/>
          <w:sz w:val="22"/>
        </w:rPr>
        <w:t>5</w:t>
      </w:r>
      <w:r w:rsidR="00B728B5" w:rsidRPr="001E2325">
        <w:rPr>
          <w:i/>
          <w:sz w:val="22"/>
          <w:vertAlign w:val="superscript"/>
        </w:rPr>
        <w:t>0</w:t>
      </w:r>
      <w:r>
        <w:rPr>
          <w:i/>
          <w:sz w:val="22"/>
        </w:rPr>
        <w:t xml:space="preserve"> degrees) the </w:t>
      </w:r>
      <w:r w:rsidR="00B728B5">
        <w:rPr>
          <w:i/>
          <w:sz w:val="22"/>
        </w:rPr>
        <w:t xml:space="preserve">Moller </w:t>
      </w:r>
      <w:r>
        <w:rPr>
          <w:i/>
          <w:sz w:val="22"/>
        </w:rPr>
        <w:t>shield (cyan color) is attached to the FT tracker, starting at z=877</w:t>
      </w:r>
      <w:r w:rsidR="00B728B5">
        <w:rPr>
          <w:i/>
          <w:sz w:val="22"/>
        </w:rPr>
        <w:t xml:space="preserve"> </w:t>
      </w:r>
      <w:r>
        <w:rPr>
          <w:i/>
          <w:sz w:val="22"/>
        </w:rPr>
        <w:t>mm from the target. Bottom: FToff</w:t>
      </w:r>
      <w:r w:rsidR="00B728B5">
        <w:rPr>
          <w:i/>
          <w:sz w:val="22"/>
        </w:rPr>
        <w:t>;</w:t>
      </w:r>
      <w:r>
        <w:rPr>
          <w:i/>
          <w:sz w:val="22"/>
        </w:rPr>
        <w:t xml:space="preserve"> the FT is present but not operational. The FT tracker is replaced with </w:t>
      </w:r>
      <w:r w:rsidR="00B728B5">
        <w:rPr>
          <w:i/>
          <w:sz w:val="22"/>
        </w:rPr>
        <w:t xml:space="preserve">a </w:t>
      </w:r>
      <w:r>
        <w:rPr>
          <w:i/>
          <w:sz w:val="22"/>
        </w:rPr>
        <w:t xml:space="preserve">shield. The </w:t>
      </w:r>
      <w:r w:rsidR="00B728B5">
        <w:rPr>
          <w:i/>
          <w:sz w:val="22"/>
        </w:rPr>
        <w:t xml:space="preserve">Moller </w:t>
      </w:r>
      <w:r>
        <w:rPr>
          <w:i/>
          <w:sz w:val="22"/>
        </w:rPr>
        <w:t>cone is placed at z=430</w:t>
      </w:r>
      <w:r w:rsidR="00B728B5">
        <w:rPr>
          <w:i/>
          <w:sz w:val="22"/>
        </w:rPr>
        <w:t xml:space="preserve"> </w:t>
      </w:r>
      <w:r>
        <w:rPr>
          <w:i/>
          <w:sz w:val="22"/>
        </w:rPr>
        <w:t xml:space="preserve">mm from the target and additional shielding minimize background in </w:t>
      </w:r>
      <w:r w:rsidR="00B728B5">
        <w:rPr>
          <w:i/>
          <w:sz w:val="22"/>
        </w:rPr>
        <w:t>R</w:t>
      </w:r>
      <w:r>
        <w:rPr>
          <w:i/>
          <w:sz w:val="22"/>
        </w:rPr>
        <w:t>egion 1</w:t>
      </w:r>
      <w:r w:rsidR="00B728B5">
        <w:rPr>
          <w:i/>
          <w:sz w:val="22"/>
        </w:rPr>
        <w:t xml:space="preserve"> Drift Chambers</w:t>
      </w:r>
      <w:r>
        <w:rPr>
          <w:i/>
          <w:sz w:val="22"/>
        </w:rPr>
        <w:t>.</w:t>
      </w:r>
    </w:p>
    <w:p w14:paraId="4F1CE10D" w14:textId="77777777" w:rsidR="009571F7" w:rsidRDefault="009571F7" w:rsidP="003F398C">
      <w:pPr>
        <w:jc w:val="both"/>
        <w:rPr>
          <w:i/>
          <w:sz w:val="22"/>
        </w:rPr>
      </w:pPr>
    </w:p>
    <w:p w14:paraId="5E366BB1" w14:textId="56FE2710" w:rsidR="002250C6" w:rsidRDefault="003F398C" w:rsidP="003F398C">
      <w:pPr>
        <w:jc w:val="both"/>
        <w:rPr>
          <w:b/>
          <w:sz w:val="28"/>
        </w:rPr>
      </w:pPr>
      <w:r>
        <w:rPr>
          <w:b/>
          <w:sz w:val="28"/>
        </w:rPr>
        <w:t>Rates in the DC</w:t>
      </w:r>
      <w:r w:rsidR="008269F3">
        <w:rPr>
          <w:b/>
          <w:sz w:val="28"/>
        </w:rPr>
        <w:t>s</w:t>
      </w:r>
    </w:p>
    <w:p w14:paraId="2DF42970" w14:textId="77777777" w:rsidR="009A3CEF" w:rsidRDefault="009A3CEF" w:rsidP="003F398C">
      <w:pPr>
        <w:jc w:val="both"/>
        <w:rPr>
          <w:i/>
          <w:sz w:val="22"/>
        </w:rPr>
      </w:pPr>
    </w:p>
    <w:p w14:paraId="6F2D71B1" w14:textId="77777777" w:rsidR="008269F3" w:rsidRDefault="008269F3" w:rsidP="003F398C">
      <w:pPr>
        <w:jc w:val="both"/>
        <w:rPr>
          <w:i/>
          <w:sz w:val="22"/>
        </w:rPr>
      </w:pPr>
    </w:p>
    <w:p w14:paraId="3D6F8E2F" w14:textId="77777777" w:rsidR="008269F3" w:rsidRPr="003F398C" w:rsidRDefault="008269F3" w:rsidP="003F398C">
      <w:pPr>
        <w:jc w:val="both"/>
        <w:rPr>
          <w:i/>
          <w:sz w:val="22"/>
        </w:rPr>
      </w:pPr>
    </w:p>
    <w:p w14:paraId="16B9BF0B" w14:textId="2879AE9B" w:rsidR="00965A15" w:rsidRDefault="00965A15" w:rsidP="003F398C"/>
    <w:p w14:paraId="7B3EC8E4" w14:textId="7B0AD6C7" w:rsidR="003F398C" w:rsidRDefault="00FA11EC" w:rsidP="00FA11EC">
      <w:pPr>
        <w:pStyle w:val="ListParagraph"/>
        <w:numPr>
          <w:ilvl w:val="0"/>
          <w:numId w:val="3"/>
        </w:numPr>
        <w:rPr>
          <w:b/>
        </w:rPr>
      </w:pPr>
      <w:r w:rsidRPr="00FA11EC">
        <w:rPr>
          <w:b/>
        </w:rPr>
        <w:t>F</w:t>
      </w:r>
      <w:r w:rsidR="004D5116">
        <w:rPr>
          <w:b/>
        </w:rPr>
        <w:t>T</w:t>
      </w:r>
      <w:r w:rsidRPr="00FA11EC">
        <w:rPr>
          <w:b/>
        </w:rPr>
        <w:t>On Configuration</w:t>
      </w:r>
      <w:r>
        <w:rPr>
          <w:b/>
        </w:rPr>
        <w:t>, in-bending and out</w:t>
      </w:r>
      <w:r w:rsidR="00070CF4">
        <w:rPr>
          <w:b/>
        </w:rPr>
        <w:t>-</w:t>
      </w:r>
      <w:r>
        <w:rPr>
          <w:b/>
        </w:rPr>
        <w:t>bending electrons</w:t>
      </w:r>
      <w:r w:rsidR="004D5116">
        <w:rPr>
          <w:b/>
        </w:rPr>
        <w:t>:</w:t>
      </w:r>
    </w:p>
    <w:p w14:paraId="62AC909D" w14:textId="72094FD0" w:rsidR="00FA11EC" w:rsidRDefault="00FA11EC" w:rsidP="00FA11EC">
      <w:pPr>
        <w:pStyle w:val="ListParagraph"/>
      </w:pPr>
      <w:r>
        <w:t>The larger occupancy is in Region 1.</w:t>
      </w:r>
      <w:r w:rsidR="007C743C">
        <w:t xml:space="preserve"> There is no difference in the occupancy or the hit distribution for the two </w:t>
      </w:r>
      <w:r w:rsidR="00E671D5">
        <w:t xml:space="preserve">torus </w:t>
      </w:r>
      <w:r w:rsidR="007C743C">
        <w:t>polarities, see Figure 2.</w:t>
      </w:r>
    </w:p>
    <w:p w14:paraId="120E8E33" w14:textId="26043BCC" w:rsidR="0082258F" w:rsidRDefault="00463B17" w:rsidP="00FA11EC">
      <w:pPr>
        <w:pStyle w:val="ListParagraph"/>
      </w:pPr>
      <w:r w:rsidRPr="00463B17">
        <w:t>Historically</w:t>
      </w:r>
      <w:r>
        <w:t xml:space="preserve"> </w:t>
      </w:r>
      <w:r w:rsidR="0082258F">
        <w:t xml:space="preserve">the desired DC occupancy limit is 3%. </w:t>
      </w:r>
    </w:p>
    <w:p w14:paraId="013176FF" w14:textId="77777777" w:rsidR="007C743C" w:rsidRDefault="007C743C" w:rsidP="00FA11EC">
      <w:pPr>
        <w:pStyle w:val="ListParagraph"/>
      </w:pPr>
    </w:p>
    <w:p w14:paraId="0EE1D2DE" w14:textId="77777777" w:rsidR="006E4119" w:rsidRDefault="006E4119" w:rsidP="00FA11EC">
      <w:pPr>
        <w:pStyle w:val="ListParagraph"/>
      </w:pPr>
    </w:p>
    <w:p w14:paraId="348AB36B" w14:textId="1911C76B" w:rsidR="003F398C" w:rsidRDefault="006E4119" w:rsidP="00BF26E3">
      <w:pPr>
        <w:pStyle w:val="ListParagraph"/>
        <w:ind w:left="0"/>
      </w:pPr>
      <w:r w:rsidRPr="006E4119">
        <w:rPr>
          <w:noProof/>
        </w:rPr>
        <w:drawing>
          <wp:inline distT="0" distB="0" distL="0" distR="0" wp14:anchorId="595351E3" wp14:editId="4CE1856D">
            <wp:extent cx="2528272" cy="2560320"/>
            <wp:effectExtent l="9208"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55"/>
                    <a:stretch/>
                  </pic:blipFill>
                  <pic:spPr bwMode="auto">
                    <a:xfrm rot="5400000">
                      <a:off x="0" y="0"/>
                      <a:ext cx="2528272" cy="25603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6E4119">
        <w:rPr>
          <w:noProof/>
        </w:rPr>
        <w:t xml:space="preserve"> </w:t>
      </w:r>
      <w:r w:rsidRPr="006E4119">
        <w:rPr>
          <w:noProof/>
        </w:rPr>
        <w:drawing>
          <wp:inline distT="0" distB="0" distL="0" distR="0" wp14:anchorId="0C85A4A3" wp14:editId="2CC7034F">
            <wp:extent cx="2515153" cy="2560320"/>
            <wp:effectExtent l="254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052"/>
                    <a:stretch/>
                  </pic:blipFill>
                  <pic:spPr bwMode="auto">
                    <a:xfrm rot="5400000">
                      <a:off x="0" y="0"/>
                      <a:ext cx="2515153" cy="25603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6E4119">
        <w:rPr>
          <w:noProof/>
        </w:rPr>
        <w:drawing>
          <wp:inline distT="0" distB="0" distL="0" distR="0" wp14:anchorId="456FA511" wp14:editId="427DAAAB">
            <wp:extent cx="2011680" cy="2560320"/>
            <wp:effectExtent l="508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2011680" cy="2560320"/>
                    </a:xfrm>
                    <a:prstGeom prst="rect">
                      <a:avLst/>
                    </a:prstGeom>
                  </pic:spPr>
                </pic:pic>
              </a:graphicData>
            </a:graphic>
          </wp:inline>
        </w:drawing>
      </w:r>
      <w:r w:rsidRPr="006E4119">
        <w:rPr>
          <w:noProof/>
        </w:rPr>
        <w:t xml:space="preserve"> </w:t>
      </w:r>
      <w:r w:rsidRPr="006E4119">
        <w:rPr>
          <w:noProof/>
        </w:rPr>
        <w:drawing>
          <wp:inline distT="0" distB="0" distL="0" distR="0" wp14:anchorId="665AF851" wp14:editId="043F7DD1">
            <wp:extent cx="2011680" cy="2560320"/>
            <wp:effectExtent l="508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2011680" cy="2560320"/>
                    </a:xfrm>
                    <a:prstGeom prst="rect">
                      <a:avLst/>
                    </a:prstGeom>
                  </pic:spPr>
                </pic:pic>
              </a:graphicData>
            </a:graphic>
          </wp:inline>
        </w:drawing>
      </w:r>
    </w:p>
    <w:p w14:paraId="03E58E86" w14:textId="77777777" w:rsidR="008612F1" w:rsidRDefault="008612F1" w:rsidP="008612F1">
      <w:pPr>
        <w:jc w:val="both"/>
      </w:pPr>
    </w:p>
    <w:p w14:paraId="5BBBDCF3" w14:textId="1B66C67A" w:rsidR="00FF2992" w:rsidRDefault="00FF2992" w:rsidP="005758E8">
      <w:pPr>
        <w:outlineLvl w:val="0"/>
        <w:rPr>
          <w:b/>
          <w:sz w:val="28"/>
        </w:rPr>
      </w:pPr>
      <w:r>
        <w:rPr>
          <w:i/>
          <w:sz w:val="22"/>
        </w:rPr>
        <w:t>Figure 2: Results for DC rates for electron in-bending (left column) and out-bending (right column). Top: the occupancies are below 3% for region 1 and below 1.2% for region 3. Bottom: layer versus wire hit distribution: the two torus polarit</w:t>
      </w:r>
      <w:r w:rsidR="00A22DB4">
        <w:rPr>
          <w:i/>
          <w:sz w:val="22"/>
        </w:rPr>
        <w:t>ies</w:t>
      </w:r>
      <w:r>
        <w:rPr>
          <w:i/>
          <w:sz w:val="22"/>
        </w:rPr>
        <w:t xml:space="preserve"> show very similar </w:t>
      </w:r>
      <w:r w:rsidR="00A22DB4">
        <w:rPr>
          <w:i/>
          <w:sz w:val="22"/>
        </w:rPr>
        <w:t>distributions</w:t>
      </w:r>
      <w:r>
        <w:rPr>
          <w:i/>
          <w:sz w:val="22"/>
        </w:rPr>
        <w:t>.</w:t>
      </w:r>
    </w:p>
    <w:p w14:paraId="511846E5" w14:textId="77777777" w:rsidR="00FF2992" w:rsidRDefault="00FF2992" w:rsidP="005758E8">
      <w:pPr>
        <w:outlineLvl w:val="0"/>
        <w:rPr>
          <w:b/>
          <w:sz w:val="28"/>
        </w:rPr>
      </w:pPr>
    </w:p>
    <w:p w14:paraId="2B649942" w14:textId="77777777" w:rsidR="00FF2992" w:rsidRDefault="00FF2992" w:rsidP="005758E8">
      <w:pPr>
        <w:outlineLvl w:val="0"/>
        <w:rPr>
          <w:b/>
          <w:sz w:val="28"/>
        </w:rPr>
      </w:pPr>
    </w:p>
    <w:p w14:paraId="4D583931" w14:textId="77777777" w:rsidR="00FF2992" w:rsidRDefault="00FF2992" w:rsidP="005758E8">
      <w:pPr>
        <w:outlineLvl w:val="0"/>
        <w:rPr>
          <w:b/>
          <w:sz w:val="28"/>
        </w:rPr>
      </w:pPr>
    </w:p>
    <w:p w14:paraId="4C96D9D4" w14:textId="77777777" w:rsidR="00FF2992" w:rsidRDefault="00FF2992" w:rsidP="005758E8">
      <w:pPr>
        <w:outlineLvl w:val="0"/>
        <w:rPr>
          <w:b/>
          <w:sz w:val="28"/>
        </w:rPr>
      </w:pPr>
    </w:p>
    <w:p w14:paraId="522F695D" w14:textId="77777777" w:rsidR="00FF2992" w:rsidRDefault="00FF2992" w:rsidP="005758E8">
      <w:pPr>
        <w:outlineLvl w:val="0"/>
        <w:rPr>
          <w:b/>
          <w:sz w:val="28"/>
        </w:rPr>
      </w:pPr>
    </w:p>
    <w:p w14:paraId="7FE9FC55" w14:textId="77777777" w:rsidR="00FF2992" w:rsidRDefault="00FF2992" w:rsidP="005758E8">
      <w:pPr>
        <w:outlineLvl w:val="0"/>
        <w:rPr>
          <w:b/>
          <w:sz w:val="28"/>
        </w:rPr>
      </w:pPr>
    </w:p>
    <w:p w14:paraId="4E824A21" w14:textId="77777777" w:rsidR="00FF2992" w:rsidRDefault="00FF2992" w:rsidP="005758E8">
      <w:pPr>
        <w:outlineLvl w:val="0"/>
        <w:rPr>
          <w:b/>
          <w:sz w:val="28"/>
        </w:rPr>
      </w:pPr>
    </w:p>
    <w:p w14:paraId="29518336" w14:textId="77777777" w:rsidR="00FF2992" w:rsidRDefault="00FF2992" w:rsidP="005758E8">
      <w:pPr>
        <w:outlineLvl w:val="0"/>
        <w:rPr>
          <w:b/>
          <w:sz w:val="28"/>
        </w:rPr>
      </w:pPr>
    </w:p>
    <w:p w14:paraId="3F8FC1DE" w14:textId="77777777" w:rsidR="005C144D" w:rsidRDefault="005C144D" w:rsidP="005758E8">
      <w:pPr>
        <w:outlineLvl w:val="0"/>
        <w:rPr>
          <w:b/>
          <w:sz w:val="28"/>
        </w:rPr>
      </w:pPr>
    </w:p>
    <w:p w14:paraId="372389A8" w14:textId="77777777" w:rsidR="00FF2992" w:rsidRDefault="00FF2992" w:rsidP="005758E8">
      <w:pPr>
        <w:outlineLvl w:val="0"/>
        <w:rPr>
          <w:b/>
          <w:sz w:val="28"/>
        </w:rPr>
      </w:pPr>
    </w:p>
    <w:p w14:paraId="00374350" w14:textId="3025DF66" w:rsidR="005E731B" w:rsidRPr="005E731B" w:rsidRDefault="005E731B" w:rsidP="005E731B">
      <w:pPr>
        <w:pStyle w:val="ListParagraph"/>
        <w:numPr>
          <w:ilvl w:val="0"/>
          <w:numId w:val="3"/>
        </w:numPr>
        <w:rPr>
          <w:b/>
        </w:rPr>
      </w:pPr>
      <w:r>
        <w:rPr>
          <w:b/>
        </w:rPr>
        <w:t>FTOff</w:t>
      </w:r>
      <w:r w:rsidRPr="005E731B">
        <w:rPr>
          <w:b/>
        </w:rPr>
        <w:t xml:space="preserve"> Configuration</w:t>
      </w:r>
      <w:r w:rsidR="00E85B37">
        <w:rPr>
          <w:b/>
        </w:rPr>
        <w:t>, in-bending</w:t>
      </w:r>
      <w:r w:rsidR="00634B8F">
        <w:rPr>
          <w:b/>
        </w:rPr>
        <w:t>:</w:t>
      </w:r>
    </w:p>
    <w:p w14:paraId="631E06DD" w14:textId="1F2C0411" w:rsidR="005E731B" w:rsidRDefault="005C144D" w:rsidP="005E731B">
      <w:pPr>
        <w:pStyle w:val="ListParagraph"/>
      </w:pPr>
      <w:r>
        <w:t>The occupancy is much lower in all regions, see Figure 3</w:t>
      </w:r>
      <w:r w:rsidR="005E731B">
        <w:t>.</w:t>
      </w:r>
    </w:p>
    <w:p w14:paraId="4575AF98" w14:textId="37F8170F" w:rsidR="005E731B" w:rsidRDefault="005C144D" w:rsidP="005E731B">
      <w:pPr>
        <w:pStyle w:val="ListParagraph"/>
      </w:pPr>
      <w:r>
        <w:t>The hit distribution is qualitatively similar to the FTOn configuration.</w:t>
      </w:r>
    </w:p>
    <w:p w14:paraId="2A0542E4" w14:textId="77777777" w:rsidR="005C144D" w:rsidRDefault="005C144D" w:rsidP="005E731B">
      <w:pPr>
        <w:pStyle w:val="ListParagraph"/>
      </w:pPr>
    </w:p>
    <w:p w14:paraId="4EDE46A4" w14:textId="77777777" w:rsidR="005E731B" w:rsidRDefault="005E731B" w:rsidP="005E731B">
      <w:pPr>
        <w:pStyle w:val="ListParagraph"/>
      </w:pPr>
    </w:p>
    <w:p w14:paraId="45221489" w14:textId="29A6D34B" w:rsidR="005E731B" w:rsidRDefault="005E731B" w:rsidP="00B15F45">
      <w:pPr>
        <w:pStyle w:val="ListParagraph"/>
        <w:ind w:left="0"/>
      </w:pPr>
      <w:r w:rsidRPr="006E4119">
        <w:rPr>
          <w:noProof/>
        </w:rPr>
        <w:drawing>
          <wp:inline distT="0" distB="0" distL="0" distR="0" wp14:anchorId="3CD71B83" wp14:editId="3C710DF9">
            <wp:extent cx="2194560" cy="2304288"/>
            <wp:effectExtent l="0" t="3810" r="1143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5400000">
                      <a:off x="0" y="0"/>
                      <a:ext cx="2194560" cy="2304288"/>
                    </a:xfrm>
                    <a:prstGeom prst="rect">
                      <a:avLst/>
                    </a:prstGeom>
                  </pic:spPr>
                </pic:pic>
              </a:graphicData>
            </a:graphic>
          </wp:inline>
        </w:drawing>
      </w:r>
      <w:r w:rsidRPr="006E4119">
        <w:rPr>
          <w:noProof/>
        </w:rPr>
        <w:t xml:space="preserve"> </w:t>
      </w:r>
      <w:r w:rsidRPr="006E4119">
        <w:rPr>
          <w:noProof/>
        </w:rPr>
        <w:drawing>
          <wp:inline distT="0" distB="0" distL="0" distR="0" wp14:anchorId="36B58775" wp14:editId="068F3924">
            <wp:extent cx="2194560" cy="2743200"/>
            <wp:effectExtent l="508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2194560" cy="2743200"/>
                    </a:xfrm>
                    <a:prstGeom prst="rect">
                      <a:avLst/>
                    </a:prstGeom>
                  </pic:spPr>
                </pic:pic>
              </a:graphicData>
            </a:graphic>
          </wp:inline>
        </w:drawing>
      </w:r>
      <w:r w:rsidRPr="006E4119">
        <w:rPr>
          <w:noProof/>
        </w:rPr>
        <w:t xml:space="preserve"> </w:t>
      </w:r>
    </w:p>
    <w:p w14:paraId="477AAA2E" w14:textId="77777777" w:rsidR="005E731B" w:rsidRDefault="005E731B" w:rsidP="005E731B">
      <w:pPr>
        <w:jc w:val="both"/>
      </w:pPr>
    </w:p>
    <w:p w14:paraId="47DF7B74" w14:textId="682DECD3" w:rsidR="005E731B" w:rsidRDefault="00B95FFA" w:rsidP="005E731B">
      <w:pPr>
        <w:outlineLvl w:val="0"/>
        <w:rPr>
          <w:b/>
          <w:sz w:val="28"/>
        </w:rPr>
      </w:pPr>
      <w:r>
        <w:rPr>
          <w:i/>
          <w:sz w:val="22"/>
        </w:rPr>
        <w:t>Figure 3</w:t>
      </w:r>
      <w:r w:rsidR="005E731B">
        <w:rPr>
          <w:i/>
          <w:sz w:val="22"/>
        </w:rPr>
        <w:t xml:space="preserve">: Results for DC rates for </w:t>
      </w:r>
      <w:r w:rsidR="004C1F11">
        <w:rPr>
          <w:i/>
          <w:sz w:val="22"/>
        </w:rPr>
        <w:t>the FTOff configurations</w:t>
      </w:r>
      <w:r w:rsidR="005E731B">
        <w:rPr>
          <w:i/>
          <w:sz w:val="22"/>
        </w:rPr>
        <w:t xml:space="preserve">. </w:t>
      </w:r>
      <w:r w:rsidR="004C1F11">
        <w:rPr>
          <w:i/>
          <w:sz w:val="22"/>
        </w:rPr>
        <w:t>Left</w:t>
      </w:r>
      <w:r w:rsidR="005E731B">
        <w:rPr>
          <w:i/>
          <w:sz w:val="22"/>
        </w:rPr>
        <w:t xml:space="preserve">: the occupancies are </w:t>
      </w:r>
      <w:r w:rsidR="004C1F11">
        <w:rPr>
          <w:i/>
          <w:sz w:val="22"/>
        </w:rPr>
        <w:t>significantly lower than for the FTon geometry</w:t>
      </w:r>
      <w:r w:rsidR="005E731B">
        <w:rPr>
          <w:i/>
          <w:sz w:val="22"/>
        </w:rPr>
        <w:t xml:space="preserve">. </w:t>
      </w:r>
      <w:r w:rsidR="004C1F11">
        <w:rPr>
          <w:i/>
          <w:sz w:val="22"/>
        </w:rPr>
        <w:t>Right</w:t>
      </w:r>
      <w:r w:rsidR="005E731B">
        <w:rPr>
          <w:i/>
          <w:sz w:val="22"/>
        </w:rPr>
        <w:t>: layer versus wire hit distribution</w:t>
      </w:r>
      <w:r w:rsidR="004C1F11">
        <w:rPr>
          <w:i/>
          <w:sz w:val="22"/>
        </w:rPr>
        <w:t>.</w:t>
      </w:r>
    </w:p>
    <w:p w14:paraId="638FFBB0" w14:textId="77777777" w:rsidR="005E731B" w:rsidRDefault="005E731B" w:rsidP="005E731B">
      <w:pPr>
        <w:outlineLvl w:val="0"/>
        <w:rPr>
          <w:b/>
          <w:sz w:val="28"/>
        </w:rPr>
      </w:pPr>
    </w:p>
    <w:p w14:paraId="25B77405" w14:textId="77777777" w:rsidR="005E731B" w:rsidRDefault="005E731B" w:rsidP="005E731B">
      <w:pPr>
        <w:outlineLvl w:val="0"/>
        <w:rPr>
          <w:b/>
          <w:sz w:val="28"/>
        </w:rPr>
      </w:pPr>
    </w:p>
    <w:p w14:paraId="09EA9892" w14:textId="77777777" w:rsidR="005E731B" w:rsidRDefault="005E731B" w:rsidP="005E731B">
      <w:pPr>
        <w:outlineLvl w:val="0"/>
        <w:rPr>
          <w:b/>
          <w:sz w:val="28"/>
        </w:rPr>
      </w:pPr>
    </w:p>
    <w:p w14:paraId="07EBC7B9" w14:textId="77777777" w:rsidR="005E731B" w:rsidRDefault="005E731B" w:rsidP="005E731B">
      <w:pPr>
        <w:outlineLvl w:val="0"/>
        <w:rPr>
          <w:b/>
          <w:sz w:val="28"/>
        </w:rPr>
      </w:pPr>
    </w:p>
    <w:p w14:paraId="7B59BDE6" w14:textId="77777777" w:rsidR="005E731B" w:rsidRDefault="005E731B" w:rsidP="005E731B">
      <w:pPr>
        <w:outlineLvl w:val="0"/>
        <w:rPr>
          <w:b/>
          <w:sz w:val="28"/>
        </w:rPr>
      </w:pPr>
    </w:p>
    <w:p w14:paraId="6964C01B" w14:textId="77777777" w:rsidR="00FF2992" w:rsidRDefault="00FF2992" w:rsidP="005758E8">
      <w:pPr>
        <w:outlineLvl w:val="0"/>
        <w:rPr>
          <w:b/>
          <w:sz w:val="28"/>
        </w:rPr>
      </w:pPr>
    </w:p>
    <w:p w14:paraId="5A63A357" w14:textId="77777777" w:rsidR="005E731B" w:rsidRDefault="005E731B" w:rsidP="005758E8">
      <w:pPr>
        <w:outlineLvl w:val="0"/>
        <w:rPr>
          <w:b/>
          <w:sz w:val="28"/>
        </w:rPr>
      </w:pPr>
    </w:p>
    <w:p w14:paraId="3B7E2157" w14:textId="77777777" w:rsidR="005E731B" w:rsidRDefault="005E731B" w:rsidP="005758E8">
      <w:pPr>
        <w:outlineLvl w:val="0"/>
        <w:rPr>
          <w:b/>
          <w:sz w:val="28"/>
        </w:rPr>
      </w:pPr>
    </w:p>
    <w:p w14:paraId="70D1CD2F" w14:textId="77777777" w:rsidR="005E731B" w:rsidRDefault="005E731B" w:rsidP="005758E8">
      <w:pPr>
        <w:outlineLvl w:val="0"/>
        <w:rPr>
          <w:b/>
          <w:sz w:val="28"/>
        </w:rPr>
      </w:pPr>
    </w:p>
    <w:p w14:paraId="3BB98853" w14:textId="77777777" w:rsidR="005E731B" w:rsidRDefault="005E731B" w:rsidP="005758E8">
      <w:pPr>
        <w:outlineLvl w:val="0"/>
        <w:rPr>
          <w:b/>
          <w:sz w:val="28"/>
        </w:rPr>
      </w:pPr>
    </w:p>
    <w:p w14:paraId="57AFA28E" w14:textId="77777777" w:rsidR="005E731B" w:rsidRDefault="005E731B" w:rsidP="005758E8">
      <w:pPr>
        <w:outlineLvl w:val="0"/>
        <w:rPr>
          <w:b/>
          <w:sz w:val="28"/>
        </w:rPr>
      </w:pPr>
    </w:p>
    <w:p w14:paraId="07FC0997" w14:textId="77777777" w:rsidR="005E731B" w:rsidRDefault="005E731B" w:rsidP="005758E8">
      <w:pPr>
        <w:outlineLvl w:val="0"/>
        <w:rPr>
          <w:b/>
          <w:sz w:val="28"/>
        </w:rPr>
      </w:pPr>
    </w:p>
    <w:p w14:paraId="6B089DD3" w14:textId="77777777" w:rsidR="005E731B" w:rsidRDefault="005E731B" w:rsidP="005758E8">
      <w:pPr>
        <w:outlineLvl w:val="0"/>
        <w:rPr>
          <w:b/>
          <w:sz w:val="28"/>
        </w:rPr>
      </w:pPr>
    </w:p>
    <w:p w14:paraId="449B9BCB" w14:textId="77777777" w:rsidR="005E731B" w:rsidRDefault="005E731B" w:rsidP="005758E8">
      <w:pPr>
        <w:outlineLvl w:val="0"/>
        <w:rPr>
          <w:b/>
          <w:sz w:val="28"/>
        </w:rPr>
      </w:pPr>
    </w:p>
    <w:p w14:paraId="0413FCD5" w14:textId="77777777" w:rsidR="005E731B" w:rsidRDefault="005E731B" w:rsidP="005E731B">
      <w:pPr>
        <w:outlineLvl w:val="0"/>
        <w:rPr>
          <w:rFonts w:asciiTheme="minorHAnsi" w:hAnsiTheme="minorHAnsi" w:cstheme="minorBidi"/>
          <w:b/>
        </w:rPr>
      </w:pPr>
    </w:p>
    <w:p w14:paraId="0DA89401" w14:textId="77777777" w:rsidR="00C050B9" w:rsidRDefault="00C050B9" w:rsidP="005E731B">
      <w:pPr>
        <w:outlineLvl w:val="0"/>
        <w:rPr>
          <w:rFonts w:asciiTheme="minorHAnsi" w:hAnsiTheme="minorHAnsi" w:cstheme="minorBidi"/>
          <w:b/>
        </w:rPr>
      </w:pPr>
    </w:p>
    <w:p w14:paraId="1742A449" w14:textId="77777777" w:rsidR="00C050B9" w:rsidRDefault="00C050B9" w:rsidP="005E731B">
      <w:pPr>
        <w:outlineLvl w:val="0"/>
        <w:rPr>
          <w:rFonts w:asciiTheme="minorHAnsi" w:hAnsiTheme="minorHAnsi" w:cstheme="minorBidi"/>
          <w:b/>
        </w:rPr>
      </w:pPr>
    </w:p>
    <w:p w14:paraId="72A547A7" w14:textId="77777777" w:rsidR="00C050B9" w:rsidRDefault="00C050B9" w:rsidP="005E731B">
      <w:pPr>
        <w:outlineLvl w:val="0"/>
        <w:rPr>
          <w:rFonts w:asciiTheme="minorHAnsi" w:hAnsiTheme="minorHAnsi" w:cstheme="minorBidi"/>
          <w:b/>
        </w:rPr>
      </w:pPr>
    </w:p>
    <w:p w14:paraId="49BAC847" w14:textId="77777777" w:rsidR="00C050B9" w:rsidRDefault="00C050B9" w:rsidP="005E731B">
      <w:pPr>
        <w:outlineLvl w:val="0"/>
        <w:rPr>
          <w:rFonts w:asciiTheme="minorHAnsi" w:hAnsiTheme="minorHAnsi" w:cstheme="minorBidi"/>
          <w:b/>
        </w:rPr>
      </w:pPr>
    </w:p>
    <w:p w14:paraId="1DA23A51" w14:textId="77777777" w:rsidR="00C050B9" w:rsidRDefault="00C050B9" w:rsidP="005E731B">
      <w:pPr>
        <w:outlineLvl w:val="0"/>
        <w:rPr>
          <w:rFonts w:asciiTheme="minorHAnsi" w:hAnsiTheme="minorHAnsi" w:cstheme="minorBidi"/>
          <w:b/>
        </w:rPr>
      </w:pPr>
    </w:p>
    <w:p w14:paraId="73A3E5D4" w14:textId="77777777" w:rsidR="00C050B9" w:rsidRDefault="00C050B9" w:rsidP="005E731B">
      <w:pPr>
        <w:outlineLvl w:val="0"/>
        <w:rPr>
          <w:rFonts w:asciiTheme="minorHAnsi" w:hAnsiTheme="minorHAnsi" w:cstheme="minorBidi"/>
          <w:b/>
        </w:rPr>
      </w:pPr>
    </w:p>
    <w:p w14:paraId="71B4DCE4" w14:textId="77777777" w:rsidR="00C050B9" w:rsidRDefault="00C050B9" w:rsidP="005E731B">
      <w:pPr>
        <w:outlineLvl w:val="0"/>
        <w:rPr>
          <w:rFonts w:asciiTheme="minorHAnsi" w:hAnsiTheme="minorHAnsi" w:cstheme="minorBidi"/>
          <w:b/>
        </w:rPr>
      </w:pPr>
    </w:p>
    <w:p w14:paraId="428AFFCE" w14:textId="77777777" w:rsidR="00C050B9" w:rsidRDefault="00C050B9" w:rsidP="005E731B">
      <w:pPr>
        <w:outlineLvl w:val="0"/>
        <w:rPr>
          <w:rFonts w:asciiTheme="minorHAnsi" w:hAnsiTheme="minorHAnsi" w:cstheme="minorBidi"/>
          <w:b/>
        </w:rPr>
      </w:pPr>
    </w:p>
    <w:p w14:paraId="698447BE" w14:textId="77777777" w:rsidR="00C050B9" w:rsidRDefault="00C050B9" w:rsidP="005E731B">
      <w:pPr>
        <w:outlineLvl w:val="0"/>
        <w:rPr>
          <w:rFonts w:asciiTheme="minorHAnsi" w:hAnsiTheme="minorHAnsi" w:cstheme="minorBidi"/>
          <w:b/>
        </w:rPr>
      </w:pPr>
    </w:p>
    <w:p w14:paraId="4D3A029D" w14:textId="1D7F24C7" w:rsidR="008269F3" w:rsidRDefault="008269F3" w:rsidP="008269F3">
      <w:pPr>
        <w:jc w:val="both"/>
        <w:rPr>
          <w:b/>
          <w:sz w:val="28"/>
        </w:rPr>
      </w:pPr>
      <w:r>
        <w:rPr>
          <w:b/>
          <w:sz w:val="28"/>
        </w:rPr>
        <w:t>Rates in the HTCC</w:t>
      </w:r>
    </w:p>
    <w:p w14:paraId="45831627" w14:textId="77777777" w:rsidR="008269F3" w:rsidRDefault="008269F3" w:rsidP="008269F3">
      <w:pPr>
        <w:jc w:val="both"/>
        <w:rPr>
          <w:i/>
          <w:sz w:val="22"/>
        </w:rPr>
      </w:pPr>
    </w:p>
    <w:p w14:paraId="50F5BD32" w14:textId="77777777" w:rsidR="008269F3" w:rsidRDefault="008269F3" w:rsidP="008269F3">
      <w:pPr>
        <w:jc w:val="both"/>
        <w:rPr>
          <w:i/>
          <w:sz w:val="22"/>
        </w:rPr>
      </w:pPr>
    </w:p>
    <w:p w14:paraId="7E67F7A2" w14:textId="77777777" w:rsidR="008269F3" w:rsidRPr="003F398C" w:rsidRDefault="008269F3" w:rsidP="008269F3">
      <w:pPr>
        <w:jc w:val="both"/>
        <w:rPr>
          <w:i/>
          <w:sz w:val="22"/>
        </w:rPr>
      </w:pPr>
    </w:p>
    <w:p w14:paraId="75940533" w14:textId="77777777" w:rsidR="008269F3" w:rsidRDefault="008269F3" w:rsidP="008269F3"/>
    <w:p w14:paraId="4A985F67" w14:textId="185200CF" w:rsidR="008269F3" w:rsidRDefault="008269F3" w:rsidP="008269F3">
      <w:pPr>
        <w:pStyle w:val="ListParagraph"/>
        <w:numPr>
          <w:ilvl w:val="0"/>
          <w:numId w:val="6"/>
        </w:numPr>
        <w:rPr>
          <w:b/>
        </w:rPr>
      </w:pPr>
      <w:r w:rsidRPr="00FA11EC">
        <w:rPr>
          <w:b/>
        </w:rPr>
        <w:t>FTOn Configuration</w:t>
      </w:r>
      <w:r>
        <w:rPr>
          <w:b/>
        </w:rPr>
        <w:t>, in-bending and out</w:t>
      </w:r>
      <w:r w:rsidR="00070CF4">
        <w:rPr>
          <w:b/>
        </w:rPr>
        <w:t>-</w:t>
      </w:r>
      <w:r>
        <w:rPr>
          <w:b/>
        </w:rPr>
        <w:t>bending electrons</w:t>
      </w:r>
      <w:r w:rsidR="007A47AE">
        <w:rPr>
          <w:b/>
        </w:rPr>
        <w:t>:</w:t>
      </w:r>
    </w:p>
    <w:p w14:paraId="5290BF38" w14:textId="17C33618" w:rsidR="008269F3" w:rsidRDefault="008269F3" w:rsidP="008269F3">
      <w:pPr>
        <w:pStyle w:val="ListParagraph"/>
      </w:pPr>
      <w:r>
        <w:t>The large</w:t>
      </w:r>
      <w:r w:rsidR="007A47AE">
        <w:t>st</w:t>
      </w:r>
      <w:r>
        <w:t xml:space="preserve"> </w:t>
      </w:r>
      <w:r w:rsidR="00B26FFB">
        <w:t>rate</w:t>
      </w:r>
      <w:r>
        <w:t xml:space="preserve"> is in </w:t>
      </w:r>
      <w:r w:rsidR="00B26FFB">
        <w:t>the inner HTCC ring</w:t>
      </w:r>
      <w:r>
        <w:t>. There is no</w:t>
      </w:r>
      <w:r w:rsidR="005F4047">
        <w:t xml:space="preserve"> significant</w:t>
      </w:r>
      <w:r>
        <w:t xml:space="preserve"> difference in the hit </w:t>
      </w:r>
      <w:r w:rsidR="00546849">
        <w:t xml:space="preserve">rates or </w:t>
      </w:r>
      <w:r>
        <w:t xml:space="preserve">distribution for the </w:t>
      </w:r>
      <w:r w:rsidR="00D145BD">
        <w:t xml:space="preserve">two </w:t>
      </w:r>
      <w:r w:rsidR="007A47AE">
        <w:t xml:space="preserve">torus </w:t>
      </w:r>
      <w:r w:rsidR="00D145BD">
        <w:t>polari</w:t>
      </w:r>
      <w:r w:rsidR="00546849">
        <w:t>ties, see Figure 4. The first ring sees a 100</w:t>
      </w:r>
      <w:r w:rsidR="007A47AE">
        <w:t xml:space="preserve"> </w:t>
      </w:r>
      <w:r w:rsidR="001A4C9B">
        <w:t>k</w:t>
      </w:r>
      <w:r w:rsidR="00546849">
        <w:t>Hz rate w</w:t>
      </w:r>
      <w:r w:rsidR="00F14551">
        <w:t>/o threshold, reduced to about 25</w:t>
      </w:r>
      <w:r w:rsidR="007A47AE">
        <w:t xml:space="preserve"> </w:t>
      </w:r>
      <w:r w:rsidR="006255CD">
        <w:t>kHz</w:t>
      </w:r>
      <w:r w:rsidR="00F14551">
        <w:t xml:space="preserve"> with a 3</w:t>
      </w:r>
      <w:r w:rsidR="007A47AE">
        <w:t xml:space="preserve"> </w:t>
      </w:r>
      <w:r w:rsidR="00F14551">
        <w:t>npe threshold and 12</w:t>
      </w:r>
      <w:r w:rsidR="007A47AE">
        <w:t xml:space="preserve"> </w:t>
      </w:r>
      <w:r w:rsidR="006255CD">
        <w:t>kHz</w:t>
      </w:r>
      <w:r w:rsidR="00F14551">
        <w:t xml:space="preserve"> with a 10</w:t>
      </w:r>
      <w:r w:rsidR="007A47AE">
        <w:t xml:space="preserve"> </w:t>
      </w:r>
      <w:r w:rsidR="00F14551">
        <w:t>npe threshold.</w:t>
      </w:r>
      <w:r w:rsidR="008F1F00">
        <w:t xml:space="preserve"> See Figure 6 for a reference picture of the four HTCC rings.</w:t>
      </w:r>
    </w:p>
    <w:p w14:paraId="4BB3ADB8" w14:textId="77777777" w:rsidR="008269F3" w:rsidRDefault="008269F3" w:rsidP="008269F3">
      <w:pPr>
        <w:pStyle w:val="ListParagraph"/>
      </w:pPr>
    </w:p>
    <w:p w14:paraId="471C459C" w14:textId="77777777" w:rsidR="008269F3" w:rsidRDefault="008269F3" w:rsidP="008269F3">
      <w:pPr>
        <w:pStyle w:val="ListParagraph"/>
      </w:pPr>
    </w:p>
    <w:p w14:paraId="22A73C61" w14:textId="77777777" w:rsidR="008269F3" w:rsidRDefault="008269F3" w:rsidP="008269F3">
      <w:pPr>
        <w:pStyle w:val="ListParagraph"/>
        <w:ind w:left="0"/>
        <w:rPr>
          <w:noProof/>
        </w:rPr>
      </w:pPr>
      <w:r w:rsidRPr="006E4119">
        <w:rPr>
          <w:noProof/>
        </w:rPr>
        <w:drawing>
          <wp:inline distT="0" distB="0" distL="0" distR="0" wp14:anchorId="431005FF" wp14:editId="45C1CD3C">
            <wp:extent cx="1621084" cy="2560320"/>
            <wp:effectExtent l="0" t="1270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1621084" cy="25603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6E4119">
        <w:rPr>
          <w:noProof/>
        </w:rPr>
        <w:t xml:space="preserve"> </w:t>
      </w:r>
      <w:r w:rsidRPr="006E4119">
        <w:rPr>
          <w:noProof/>
        </w:rPr>
        <w:drawing>
          <wp:inline distT="0" distB="0" distL="0" distR="0" wp14:anchorId="48FA43DA" wp14:editId="32E452E4">
            <wp:extent cx="1621084" cy="2560320"/>
            <wp:effectExtent l="0" t="1270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rot="5400000">
                      <a:off x="0" y="0"/>
                      <a:ext cx="1621084" cy="256032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6E4119">
        <w:rPr>
          <w:noProof/>
        </w:rPr>
        <w:drawing>
          <wp:inline distT="0" distB="0" distL="0" distR="0" wp14:anchorId="49CF50FE" wp14:editId="71B8D1CE">
            <wp:extent cx="1621084" cy="2560320"/>
            <wp:effectExtent l="0" t="1270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5400000">
                      <a:off x="0" y="0"/>
                      <a:ext cx="1621084" cy="2560320"/>
                    </a:xfrm>
                    <a:prstGeom prst="rect">
                      <a:avLst/>
                    </a:prstGeom>
                  </pic:spPr>
                </pic:pic>
              </a:graphicData>
            </a:graphic>
          </wp:inline>
        </w:drawing>
      </w:r>
      <w:r w:rsidRPr="006E4119">
        <w:rPr>
          <w:noProof/>
        </w:rPr>
        <w:t xml:space="preserve"> </w:t>
      </w:r>
      <w:r w:rsidRPr="006E4119">
        <w:rPr>
          <w:noProof/>
        </w:rPr>
        <w:drawing>
          <wp:inline distT="0" distB="0" distL="0" distR="0" wp14:anchorId="3D66F91B" wp14:editId="28E328FC">
            <wp:extent cx="1621084" cy="2560320"/>
            <wp:effectExtent l="0" t="1270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621084" cy="2560320"/>
                    </a:xfrm>
                    <a:prstGeom prst="rect">
                      <a:avLst/>
                    </a:prstGeom>
                  </pic:spPr>
                </pic:pic>
              </a:graphicData>
            </a:graphic>
          </wp:inline>
        </w:drawing>
      </w:r>
    </w:p>
    <w:p w14:paraId="180ACF5F" w14:textId="0BE904EE" w:rsidR="00165E3C" w:rsidRDefault="00F14551" w:rsidP="008269F3">
      <w:pPr>
        <w:pStyle w:val="ListParagraph"/>
        <w:ind w:left="0"/>
      </w:pPr>
      <w:r w:rsidRPr="006E4119">
        <w:rPr>
          <w:noProof/>
        </w:rPr>
        <w:drawing>
          <wp:inline distT="0" distB="0" distL="0" distR="0" wp14:anchorId="056EE785" wp14:editId="51378DE8">
            <wp:extent cx="1621084" cy="2560319"/>
            <wp:effectExtent l="0" t="12383"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1621084" cy="2560319"/>
                    </a:xfrm>
                    <a:prstGeom prst="rect">
                      <a:avLst/>
                    </a:prstGeom>
                  </pic:spPr>
                </pic:pic>
              </a:graphicData>
            </a:graphic>
          </wp:inline>
        </w:drawing>
      </w:r>
      <w:r w:rsidR="00165E3C" w:rsidRPr="006E4119">
        <w:rPr>
          <w:noProof/>
        </w:rPr>
        <w:drawing>
          <wp:inline distT="0" distB="0" distL="0" distR="0" wp14:anchorId="43E12640" wp14:editId="5872FFF2">
            <wp:extent cx="1621084" cy="2560319"/>
            <wp:effectExtent l="0" t="12383"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1621084" cy="2560319"/>
                    </a:xfrm>
                    <a:prstGeom prst="rect">
                      <a:avLst/>
                    </a:prstGeom>
                  </pic:spPr>
                </pic:pic>
              </a:graphicData>
            </a:graphic>
          </wp:inline>
        </w:drawing>
      </w:r>
    </w:p>
    <w:p w14:paraId="04C40C64" w14:textId="77777777" w:rsidR="008269F3" w:rsidRDefault="008269F3" w:rsidP="008269F3">
      <w:pPr>
        <w:jc w:val="both"/>
      </w:pPr>
    </w:p>
    <w:p w14:paraId="701BFFD0" w14:textId="03BDA004" w:rsidR="008269F3" w:rsidRDefault="005F4047" w:rsidP="008269F3">
      <w:pPr>
        <w:outlineLvl w:val="0"/>
        <w:rPr>
          <w:b/>
          <w:sz w:val="28"/>
        </w:rPr>
      </w:pPr>
      <w:r>
        <w:rPr>
          <w:i/>
          <w:sz w:val="22"/>
        </w:rPr>
        <w:t>Figure 4</w:t>
      </w:r>
      <w:r w:rsidR="008269F3">
        <w:rPr>
          <w:i/>
          <w:sz w:val="22"/>
        </w:rPr>
        <w:t xml:space="preserve">: Results for </w:t>
      </w:r>
      <w:r w:rsidR="00F14551">
        <w:rPr>
          <w:i/>
          <w:sz w:val="22"/>
        </w:rPr>
        <w:t xml:space="preserve">HTCC </w:t>
      </w:r>
      <w:r w:rsidR="008269F3">
        <w:rPr>
          <w:i/>
          <w:sz w:val="22"/>
        </w:rPr>
        <w:t>rates for electron</w:t>
      </w:r>
      <w:r w:rsidR="007A47AE">
        <w:rPr>
          <w:i/>
          <w:sz w:val="22"/>
        </w:rPr>
        <w:t>s</w:t>
      </w:r>
      <w:r w:rsidR="008269F3">
        <w:rPr>
          <w:i/>
          <w:sz w:val="22"/>
        </w:rPr>
        <w:t xml:space="preserve"> in-bending (left column) and out-bending (right column). Top</w:t>
      </w:r>
      <w:r w:rsidR="00F14551">
        <w:rPr>
          <w:i/>
          <w:sz w:val="22"/>
        </w:rPr>
        <w:t xml:space="preserve"> row</w:t>
      </w:r>
      <w:r w:rsidR="008269F3">
        <w:rPr>
          <w:i/>
          <w:sz w:val="22"/>
        </w:rPr>
        <w:t xml:space="preserve">: </w:t>
      </w:r>
      <w:r w:rsidR="00F14551">
        <w:rPr>
          <w:i/>
          <w:sz w:val="22"/>
        </w:rPr>
        <w:t>number of photoelectrons. Middle and bottom row: rates in the four HTCC rings, number 1 being the closest to the beam.</w:t>
      </w:r>
    </w:p>
    <w:p w14:paraId="7D31C432" w14:textId="77777777" w:rsidR="008269F3" w:rsidRDefault="008269F3" w:rsidP="008269F3">
      <w:pPr>
        <w:outlineLvl w:val="0"/>
        <w:rPr>
          <w:b/>
          <w:sz w:val="28"/>
        </w:rPr>
      </w:pPr>
    </w:p>
    <w:p w14:paraId="7940B942" w14:textId="77777777" w:rsidR="008269F3" w:rsidRDefault="008269F3" w:rsidP="008269F3">
      <w:pPr>
        <w:outlineLvl w:val="0"/>
        <w:rPr>
          <w:b/>
          <w:sz w:val="28"/>
        </w:rPr>
      </w:pPr>
    </w:p>
    <w:p w14:paraId="12C12FEC" w14:textId="77777777" w:rsidR="00C050B9" w:rsidRDefault="00C050B9" w:rsidP="005E731B">
      <w:pPr>
        <w:outlineLvl w:val="0"/>
        <w:rPr>
          <w:rFonts w:asciiTheme="minorHAnsi" w:hAnsiTheme="minorHAnsi" w:cstheme="minorBidi"/>
          <w:b/>
        </w:rPr>
      </w:pPr>
    </w:p>
    <w:p w14:paraId="185839CB" w14:textId="77777777" w:rsidR="00C050B9" w:rsidRDefault="00C050B9" w:rsidP="005E731B">
      <w:pPr>
        <w:outlineLvl w:val="0"/>
        <w:rPr>
          <w:b/>
          <w:sz w:val="28"/>
        </w:rPr>
      </w:pPr>
    </w:p>
    <w:p w14:paraId="7D62582C" w14:textId="77777777" w:rsidR="005045C7" w:rsidRDefault="005045C7" w:rsidP="005045C7"/>
    <w:p w14:paraId="40DD943C" w14:textId="372C2D2D" w:rsidR="005045C7" w:rsidRDefault="005045C7" w:rsidP="005045C7">
      <w:pPr>
        <w:pStyle w:val="ListParagraph"/>
        <w:numPr>
          <w:ilvl w:val="0"/>
          <w:numId w:val="6"/>
        </w:numPr>
        <w:rPr>
          <w:b/>
        </w:rPr>
      </w:pPr>
      <w:r>
        <w:rPr>
          <w:b/>
        </w:rPr>
        <w:t>FTOff</w:t>
      </w:r>
      <w:r w:rsidRPr="005045C7">
        <w:rPr>
          <w:b/>
        </w:rPr>
        <w:t xml:space="preserve"> Configuration</w:t>
      </w:r>
    </w:p>
    <w:p w14:paraId="4BD3BA5A" w14:textId="77777777" w:rsidR="00902EDE" w:rsidRDefault="00902EDE" w:rsidP="005045C7">
      <w:pPr>
        <w:pStyle w:val="ListParagraph"/>
      </w:pPr>
    </w:p>
    <w:p w14:paraId="6B15E160" w14:textId="009F24C4" w:rsidR="005045C7" w:rsidRDefault="005045C7" w:rsidP="005257E1">
      <w:pPr>
        <w:pStyle w:val="ListParagraph"/>
      </w:pPr>
      <w:r>
        <w:t xml:space="preserve">There is no significant difference in the hit distribution </w:t>
      </w:r>
      <w:r w:rsidR="00902EDE">
        <w:t>compared to FTOn, see Fi</w:t>
      </w:r>
      <w:r w:rsidR="00973AE5">
        <w:t>gure 5. T</w:t>
      </w:r>
      <w:r w:rsidR="00902EDE">
        <w:t xml:space="preserve">he rates are </w:t>
      </w:r>
      <w:r w:rsidR="004F252F">
        <w:t>reduced. The first ring sees a 60</w:t>
      </w:r>
      <w:r w:rsidR="007A47AE">
        <w:t xml:space="preserve"> </w:t>
      </w:r>
      <w:r w:rsidR="006255CD">
        <w:t>kHz</w:t>
      </w:r>
      <w:r>
        <w:t xml:space="preserve"> rate w/</w:t>
      </w:r>
      <w:r w:rsidR="004F252F">
        <w:t>o threshold, reduced to about 20</w:t>
      </w:r>
      <w:r w:rsidR="007A47AE">
        <w:t xml:space="preserve"> </w:t>
      </w:r>
      <w:r w:rsidR="006255CD">
        <w:t>kHz</w:t>
      </w:r>
      <w:r>
        <w:t xml:space="preserve"> with a 3</w:t>
      </w:r>
      <w:r w:rsidR="007A47AE">
        <w:t xml:space="preserve"> </w:t>
      </w:r>
      <w:r>
        <w:t>npe threshold a</w:t>
      </w:r>
      <w:r w:rsidR="004F252F">
        <w:t>nd 10</w:t>
      </w:r>
      <w:r w:rsidR="007A47AE">
        <w:t xml:space="preserve"> </w:t>
      </w:r>
      <w:r w:rsidR="006255CD">
        <w:t>kHz</w:t>
      </w:r>
      <w:r>
        <w:t xml:space="preserve"> with a 10</w:t>
      </w:r>
      <w:r w:rsidR="007A47AE">
        <w:t xml:space="preserve"> </w:t>
      </w:r>
      <w:r>
        <w:t>npe threshold. See Figure 6 for a reference picture of the four HTCC rings.</w:t>
      </w:r>
    </w:p>
    <w:p w14:paraId="41741404" w14:textId="0E508E7E" w:rsidR="005045C7" w:rsidRDefault="005045C7" w:rsidP="005045C7">
      <w:pPr>
        <w:pStyle w:val="ListParagraph"/>
        <w:ind w:left="0"/>
        <w:jc w:val="center"/>
        <w:rPr>
          <w:noProof/>
        </w:rPr>
      </w:pPr>
      <w:r w:rsidRPr="006E4119">
        <w:rPr>
          <w:noProof/>
        </w:rPr>
        <w:drawing>
          <wp:inline distT="0" distB="0" distL="0" distR="0" wp14:anchorId="10FBB91A" wp14:editId="47A6ED8D">
            <wp:extent cx="3102356" cy="3609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rot="5400000">
                      <a:off x="0" y="0"/>
                      <a:ext cx="3126584" cy="3638167"/>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6E4119">
        <w:rPr>
          <w:noProof/>
        </w:rPr>
        <w:drawing>
          <wp:inline distT="0" distB="0" distL="0" distR="0" wp14:anchorId="0FA3FAFD" wp14:editId="10E5E251">
            <wp:extent cx="2048680" cy="2559428"/>
            <wp:effectExtent l="0" t="1270" r="7620" b="762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2055153" cy="2567514"/>
                    </a:xfrm>
                    <a:prstGeom prst="rect">
                      <a:avLst/>
                    </a:prstGeom>
                  </pic:spPr>
                </pic:pic>
              </a:graphicData>
            </a:graphic>
          </wp:inline>
        </w:drawing>
      </w:r>
      <w:r w:rsidRPr="006E4119">
        <w:rPr>
          <w:noProof/>
        </w:rPr>
        <w:drawing>
          <wp:inline distT="0" distB="0" distL="0" distR="0" wp14:anchorId="5C89F14C" wp14:editId="67EB6E8C">
            <wp:extent cx="2050660" cy="2559428"/>
            <wp:effectExtent l="0" t="317" r="6667" b="6668"/>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2061397" cy="2572829"/>
                    </a:xfrm>
                    <a:prstGeom prst="rect">
                      <a:avLst/>
                    </a:prstGeom>
                  </pic:spPr>
                </pic:pic>
              </a:graphicData>
            </a:graphic>
          </wp:inline>
        </w:drawing>
      </w:r>
    </w:p>
    <w:p w14:paraId="6E59A7EB" w14:textId="77777777" w:rsidR="005045C7" w:rsidRDefault="005045C7" w:rsidP="005045C7">
      <w:pPr>
        <w:jc w:val="both"/>
      </w:pPr>
    </w:p>
    <w:p w14:paraId="008BDF22" w14:textId="7A479D38" w:rsidR="005045C7" w:rsidRDefault="003D3248" w:rsidP="005045C7">
      <w:pPr>
        <w:outlineLvl w:val="0"/>
        <w:rPr>
          <w:i/>
          <w:sz w:val="22"/>
        </w:rPr>
      </w:pPr>
      <w:r>
        <w:rPr>
          <w:i/>
          <w:sz w:val="22"/>
        </w:rPr>
        <w:t>Figure 5</w:t>
      </w:r>
      <w:r w:rsidR="005045C7">
        <w:rPr>
          <w:i/>
          <w:sz w:val="22"/>
        </w:rPr>
        <w:t xml:space="preserve">: Results for HTCC rates for electron in-bending </w:t>
      </w:r>
      <w:r w:rsidR="00154D1D">
        <w:rPr>
          <w:i/>
          <w:sz w:val="22"/>
        </w:rPr>
        <w:t>and FTOff configuration</w:t>
      </w:r>
      <w:r w:rsidR="005045C7">
        <w:rPr>
          <w:i/>
          <w:sz w:val="22"/>
        </w:rPr>
        <w:t xml:space="preserve">. Top row: number of photoelectrons. </w:t>
      </w:r>
      <w:r w:rsidR="00154D1D">
        <w:rPr>
          <w:i/>
          <w:sz w:val="22"/>
        </w:rPr>
        <w:t>B</w:t>
      </w:r>
      <w:r w:rsidR="005045C7">
        <w:rPr>
          <w:i/>
          <w:sz w:val="22"/>
        </w:rPr>
        <w:t>ottom row: rates in the four HTCC rings, number 1 being the closest to the beam.</w:t>
      </w:r>
    </w:p>
    <w:p w14:paraId="7E1E5FF7" w14:textId="77777777" w:rsidR="005257E1" w:rsidRDefault="005257E1" w:rsidP="005045C7">
      <w:pPr>
        <w:outlineLvl w:val="0"/>
        <w:rPr>
          <w:b/>
          <w:sz w:val="28"/>
        </w:rPr>
      </w:pPr>
    </w:p>
    <w:p w14:paraId="51BD60C5" w14:textId="2638DBD3" w:rsidR="00D145BD" w:rsidRDefault="00744F78" w:rsidP="005257E1">
      <w:pPr>
        <w:jc w:val="center"/>
        <w:outlineLvl w:val="0"/>
        <w:rPr>
          <w:b/>
          <w:sz w:val="28"/>
        </w:rPr>
      </w:pPr>
      <w:r w:rsidRPr="00744F78">
        <w:rPr>
          <w:b/>
          <w:noProof/>
          <w:sz w:val="28"/>
        </w:rPr>
        <w:drawing>
          <wp:inline distT="0" distB="0" distL="0" distR="0" wp14:anchorId="6E5601CB" wp14:editId="65F0850D">
            <wp:extent cx="2925471" cy="24028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4">
                      <a:extLst>
                        <a:ext uri="{28A0092B-C50C-407E-A947-70E740481C1C}">
                          <a14:useLocalDpi xmlns:a14="http://schemas.microsoft.com/office/drawing/2010/main" val="0"/>
                        </a:ext>
                      </a:extLst>
                    </a:blip>
                    <a:srcRect t="3200"/>
                    <a:stretch/>
                  </pic:blipFill>
                  <pic:spPr bwMode="auto">
                    <a:xfrm>
                      <a:off x="0" y="0"/>
                      <a:ext cx="2926262" cy="240349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C534A5D" w14:textId="12143F68" w:rsidR="005257E1" w:rsidRPr="005257E1" w:rsidRDefault="003D3248" w:rsidP="005257E1">
      <w:pPr>
        <w:jc w:val="center"/>
        <w:outlineLvl w:val="0"/>
        <w:rPr>
          <w:i/>
          <w:sz w:val="22"/>
        </w:rPr>
      </w:pPr>
      <w:r>
        <w:rPr>
          <w:i/>
          <w:sz w:val="22"/>
        </w:rPr>
        <w:t>Figure 6</w:t>
      </w:r>
      <w:r w:rsidR="005257E1">
        <w:rPr>
          <w:i/>
          <w:sz w:val="22"/>
        </w:rPr>
        <w:t xml:space="preserve">: The four HTCC mirror rings in the simulation. </w:t>
      </w:r>
    </w:p>
    <w:p w14:paraId="6A69BD66" w14:textId="77777777" w:rsidR="00156B53" w:rsidRDefault="00156B53" w:rsidP="00240752">
      <w:pPr>
        <w:jc w:val="both"/>
        <w:rPr>
          <w:b/>
          <w:sz w:val="28"/>
        </w:rPr>
      </w:pPr>
    </w:p>
    <w:p w14:paraId="40823D9B" w14:textId="19055823" w:rsidR="00240752" w:rsidRPr="003D3248" w:rsidRDefault="00240752" w:rsidP="00240752">
      <w:pPr>
        <w:jc w:val="both"/>
        <w:rPr>
          <w:b/>
          <w:sz w:val="28"/>
        </w:rPr>
      </w:pPr>
      <w:r>
        <w:rPr>
          <w:b/>
          <w:sz w:val="28"/>
        </w:rPr>
        <w:t xml:space="preserve">Rates </w:t>
      </w:r>
      <w:r w:rsidR="00FC42CB">
        <w:rPr>
          <w:b/>
          <w:sz w:val="28"/>
        </w:rPr>
        <w:t xml:space="preserve">and PMT currents </w:t>
      </w:r>
      <w:r>
        <w:rPr>
          <w:b/>
          <w:sz w:val="28"/>
        </w:rPr>
        <w:t>in the FTOF</w:t>
      </w:r>
    </w:p>
    <w:p w14:paraId="21907691" w14:textId="77777777" w:rsidR="00240752" w:rsidRDefault="00240752" w:rsidP="00240752"/>
    <w:p w14:paraId="3E215A3D" w14:textId="286779B0" w:rsidR="00240752" w:rsidRDefault="00240752" w:rsidP="00240752">
      <w:pPr>
        <w:pStyle w:val="ListParagraph"/>
        <w:numPr>
          <w:ilvl w:val="0"/>
          <w:numId w:val="8"/>
        </w:numPr>
        <w:rPr>
          <w:b/>
        </w:rPr>
      </w:pPr>
      <w:r w:rsidRPr="00FA11EC">
        <w:rPr>
          <w:b/>
        </w:rPr>
        <w:t>FTOn Configuration</w:t>
      </w:r>
      <w:r>
        <w:rPr>
          <w:b/>
        </w:rPr>
        <w:t>, in-bending and out</w:t>
      </w:r>
      <w:r w:rsidR="00C02F95">
        <w:rPr>
          <w:b/>
        </w:rPr>
        <w:t>-</w:t>
      </w:r>
      <w:r>
        <w:rPr>
          <w:b/>
        </w:rPr>
        <w:t>bending electrons</w:t>
      </w:r>
    </w:p>
    <w:p w14:paraId="55AE5121" w14:textId="5C4292ED" w:rsidR="00FF2992" w:rsidRPr="003D3248" w:rsidRDefault="003D3248" w:rsidP="005758E8">
      <w:pPr>
        <w:outlineLvl w:val="0"/>
      </w:pPr>
      <w:r w:rsidRPr="003D3248">
        <w:t>Rates</w:t>
      </w:r>
      <w:r>
        <w:t xml:space="preserve"> for 1 MeV threshold on the energy deposition and PMT currents </w:t>
      </w:r>
      <w:bookmarkStart w:id="0" w:name="_GoBack"/>
      <w:r w:rsidR="00BC6E37">
        <w:t xml:space="preserve">[4] </w:t>
      </w:r>
      <w:bookmarkEnd w:id="0"/>
      <w:r>
        <w:t xml:space="preserve">for FTOF counters are shown in Figure 7. Rates increase with the counter length </w:t>
      </w:r>
      <w:r w:rsidR="007E55E2">
        <w:t xml:space="preserve">and </w:t>
      </w:r>
      <w:r>
        <w:t xml:space="preserve">with the increase of solid angle, reaching a maximum of 700 kHz for </w:t>
      </w:r>
      <w:r w:rsidR="007E55E2">
        <w:t xml:space="preserve">the </w:t>
      </w:r>
      <w:r>
        <w:t xml:space="preserve">Panel-2 counters. Similarly, the maximum PMT currents are seen in the same detector elements and are of the order of 15 </w:t>
      </w:r>
      <w:r w:rsidR="007E55E2">
        <w:t>μ</w:t>
      </w:r>
      <w:r>
        <w:t>A. The dependence on the field polarity is negligible for rates while it is of the order of 10% for the currents. The rates strongly depend on the threshold, going from a maximum of about 6 MHz for 0 threshold, to the 700 kHz for 1 MeV</w:t>
      </w:r>
      <w:r w:rsidR="007E55E2">
        <w:t>(as shown in Fig. 7)</w:t>
      </w:r>
      <w:r>
        <w:t>, to 70 kHz for 5 MeV.</w:t>
      </w:r>
    </w:p>
    <w:p w14:paraId="1B6B3F20" w14:textId="7D0D3169" w:rsidR="00FF2992" w:rsidRDefault="00240752" w:rsidP="005758E8">
      <w:pPr>
        <w:outlineLvl w:val="0"/>
        <w:rPr>
          <w:b/>
          <w:sz w:val="28"/>
        </w:rPr>
      </w:pPr>
      <w:r w:rsidRPr="00240752">
        <w:rPr>
          <w:noProof/>
        </w:rPr>
        <w:t xml:space="preserve"> </w:t>
      </w:r>
      <w:r w:rsidR="00F933C5">
        <w:rPr>
          <w:b/>
          <w:noProof/>
          <w:sz w:val="28"/>
        </w:rPr>
        <w:drawing>
          <wp:inline distT="0" distB="0" distL="0" distR="0" wp14:anchorId="00ABAAB0" wp14:editId="6CA90D35">
            <wp:extent cx="2592029" cy="337525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f_kpp_1MeV.pdf"/>
                    <pic:cNvPicPr/>
                  </pic:nvPicPr>
                  <pic:blipFill>
                    <a:blip r:embed="rId25">
                      <a:extLst>
                        <a:ext uri="{28A0092B-C50C-407E-A947-70E740481C1C}">
                          <a14:useLocalDpi xmlns:a14="http://schemas.microsoft.com/office/drawing/2010/main" val="0"/>
                        </a:ext>
                      </a:extLst>
                    </a:blip>
                    <a:stretch>
                      <a:fillRect/>
                    </a:stretch>
                  </pic:blipFill>
                  <pic:spPr>
                    <a:xfrm>
                      <a:off x="0" y="0"/>
                      <a:ext cx="2592556" cy="3375946"/>
                    </a:xfrm>
                    <a:prstGeom prst="rect">
                      <a:avLst/>
                    </a:prstGeom>
                  </pic:spPr>
                </pic:pic>
              </a:graphicData>
            </a:graphic>
          </wp:inline>
        </w:drawing>
      </w:r>
      <w:r w:rsidR="00F933C5">
        <w:rPr>
          <w:b/>
          <w:noProof/>
          <w:sz w:val="28"/>
        </w:rPr>
        <w:drawing>
          <wp:inline distT="0" distB="0" distL="0" distR="0" wp14:anchorId="7E2D7BB5" wp14:editId="22B07EDB">
            <wp:extent cx="2593962" cy="337777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f_kpp_1MeV.pdf"/>
                    <pic:cNvPicPr/>
                  </pic:nvPicPr>
                  <pic:blipFill>
                    <a:blip r:embed="rId26">
                      <a:extLst>
                        <a:ext uri="{28A0092B-C50C-407E-A947-70E740481C1C}">
                          <a14:useLocalDpi xmlns:a14="http://schemas.microsoft.com/office/drawing/2010/main" val="0"/>
                        </a:ext>
                      </a:extLst>
                    </a:blip>
                    <a:stretch>
                      <a:fillRect/>
                    </a:stretch>
                  </pic:blipFill>
                  <pic:spPr>
                    <a:xfrm>
                      <a:off x="0" y="0"/>
                      <a:ext cx="2594636" cy="3378653"/>
                    </a:xfrm>
                    <a:prstGeom prst="rect">
                      <a:avLst/>
                    </a:prstGeom>
                  </pic:spPr>
                </pic:pic>
              </a:graphicData>
            </a:graphic>
          </wp:inline>
        </w:drawing>
      </w:r>
    </w:p>
    <w:p w14:paraId="77BCD62A" w14:textId="120E5DD4" w:rsidR="00F933C5" w:rsidRDefault="003D3248" w:rsidP="00F933C5">
      <w:pPr>
        <w:outlineLvl w:val="0"/>
        <w:rPr>
          <w:b/>
          <w:sz w:val="28"/>
        </w:rPr>
      </w:pPr>
      <w:r>
        <w:rPr>
          <w:i/>
          <w:sz w:val="22"/>
        </w:rPr>
        <w:t>Figure 7</w:t>
      </w:r>
      <w:r w:rsidR="00F933C5">
        <w:rPr>
          <w:i/>
          <w:sz w:val="22"/>
        </w:rPr>
        <w:t>: Results for FTOF rates (top) and PMT currents (bottom) for electron</w:t>
      </w:r>
      <w:r w:rsidR="000D282B">
        <w:rPr>
          <w:i/>
          <w:sz w:val="22"/>
        </w:rPr>
        <w:t>s</w:t>
      </w:r>
      <w:r w:rsidR="00F933C5">
        <w:rPr>
          <w:i/>
          <w:sz w:val="22"/>
        </w:rPr>
        <w:t xml:space="preserve"> in-bending (left column) and out-bending (right column). Rates are </w:t>
      </w:r>
      <w:r w:rsidR="00FF7878">
        <w:rPr>
          <w:i/>
          <w:sz w:val="22"/>
        </w:rPr>
        <w:t xml:space="preserve">calculated for a 1 MeV threshold on the energy deposited and are expressed </w:t>
      </w:r>
      <w:r w:rsidR="00F933C5">
        <w:rPr>
          <w:i/>
          <w:sz w:val="22"/>
        </w:rPr>
        <w:t xml:space="preserve">in kHz while currents are in </w:t>
      </w:r>
      <w:r w:rsidR="000D282B" w:rsidRPr="000D282B">
        <w:rPr>
          <w:i/>
          <w:sz w:val="22"/>
        </w:rPr>
        <w:t>μA</w:t>
      </w:r>
      <w:r w:rsidR="00F933C5">
        <w:rPr>
          <w:i/>
          <w:sz w:val="22"/>
        </w:rPr>
        <w:t xml:space="preserve">. The different sets of x bins from left to right correspond to Panel-1B, Panel-1A and Panel 2 counters. </w:t>
      </w:r>
    </w:p>
    <w:p w14:paraId="22711201" w14:textId="77777777" w:rsidR="00F933C5" w:rsidRDefault="00F933C5" w:rsidP="00F933C5">
      <w:pPr>
        <w:outlineLvl w:val="0"/>
        <w:rPr>
          <w:b/>
          <w:sz w:val="28"/>
        </w:rPr>
      </w:pPr>
    </w:p>
    <w:p w14:paraId="5057F387" w14:textId="4C3256D8" w:rsidR="008638A4" w:rsidRDefault="008638A4" w:rsidP="008638A4">
      <w:pPr>
        <w:pStyle w:val="ListParagraph"/>
        <w:numPr>
          <w:ilvl w:val="0"/>
          <w:numId w:val="8"/>
        </w:numPr>
        <w:rPr>
          <w:b/>
        </w:rPr>
      </w:pPr>
      <w:r>
        <w:rPr>
          <w:b/>
        </w:rPr>
        <w:t>FTOff</w:t>
      </w:r>
      <w:r w:rsidRPr="005045C7">
        <w:rPr>
          <w:b/>
        </w:rPr>
        <w:t xml:space="preserve"> Configuration</w:t>
      </w:r>
    </w:p>
    <w:p w14:paraId="592659C8" w14:textId="6727D8C9" w:rsidR="008638A4" w:rsidRDefault="00FC42CB" w:rsidP="008638A4">
      <w:pPr>
        <w:pStyle w:val="ListParagraph"/>
      </w:pPr>
      <w:r>
        <w:t xml:space="preserve">Rates and currents for the </w:t>
      </w:r>
      <w:r w:rsidR="000D282B">
        <w:t>FTO</w:t>
      </w:r>
      <w:r>
        <w:t>ff configuration are significantly reduced compared to FT</w:t>
      </w:r>
      <w:r w:rsidR="000D282B">
        <w:t>O</w:t>
      </w:r>
      <w:r>
        <w:t>n. As shown in Fig. 8, rates for 1 MeV threshold are reduced by about a factor 2, while currents drop by about 30%. This is consistent with the currents being dominated by low energy hits due to particles coming from the target. The rate dependence on the energy thresholds is similar to the FT</w:t>
      </w:r>
      <w:r w:rsidR="000D282B">
        <w:t>O</w:t>
      </w:r>
      <w:r>
        <w:t xml:space="preserve">n configuration, going from a maximum of about 3.5 MHz for 0 threshold, to the 400 kHz for 1 MeV </w:t>
      </w:r>
      <w:r w:rsidR="00815DCB">
        <w:t xml:space="preserve">(as </w:t>
      </w:r>
      <w:r>
        <w:t xml:space="preserve">shown in </w:t>
      </w:r>
      <w:r w:rsidR="00815DCB">
        <w:t>Fig. 8)</w:t>
      </w:r>
      <w:r>
        <w:t>, to 50 kHz for 5 MeV.</w:t>
      </w:r>
    </w:p>
    <w:p w14:paraId="09956DB1" w14:textId="41F35167" w:rsidR="00F933C5" w:rsidRDefault="00A45809" w:rsidP="00A45809">
      <w:pPr>
        <w:jc w:val="center"/>
        <w:outlineLvl w:val="0"/>
        <w:rPr>
          <w:b/>
          <w:sz w:val="28"/>
        </w:rPr>
      </w:pPr>
      <w:r>
        <w:rPr>
          <w:b/>
          <w:noProof/>
          <w:sz w:val="28"/>
        </w:rPr>
        <w:drawing>
          <wp:inline distT="0" distB="0" distL="0" distR="0" wp14:anchorId="2E86A7DF" wp14:editId="55F34795">
            <wp:extent cx="4139666" cy="539054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f_kpp_1MeV.pdf"/>
                    <pic:cNvPicPr/>
                  </pic:nvPicPr>
                  <pic:blipFill>
                    <a:blip r:embed="rId27">
                      <a:extLst>
                        <a:ext uri="{28A0092B-C50C-407E-A947-70E740481C1C}">
                          <a14:useLocalDpi xmlns:a14="http://schemas.microsoft.com/office/drawing/2010/main" val="0"/>
                        </a:ext>
                      </a:extLst>
                    </a:blip>
                    <a:stretch>
                      <a:fillRect/>
                    </a:stretch>
                  </pic:blipFill>
                  <pic:spPr>
                    <a:xfrm>
                      <a:off x="0" y="0"/>
                      <a:ext cx="4151704" cy="5406219"/>
                    </a:xfrm>
                    <a:prstGeom prst="rect">
                      <a:avLst/>
                    </a:prstGeom>
                  </pic:spPr>
                </pic:pic>
              </a:graphicData>
            </a:graphic>
          </wp:inline>
        </w:drawing>
      </w:r>
    </w:p>
    <w:p w14:paraId="2D86CEDC" w14:textId="77777777" w:rsidR="00860A0B" w:rsidRDefault="00860A0B" w:rsidP="00A45809">
      <w:pPr>
        <w:outlineLvl w:val="0"/>
        <w:rPr>
          <w:i/>
          <w:sz w:val="22"/>
        </w:rPr>
      </w:pPr>
    </w:p>
    <w:p w14:paraId="69CCF932" w14:textId="70FD78AB" w:rsidR="00A45809" w:rsidRDefault="00A45809" w:rsidP="00A45809">
      <w:pPr>
        <w:outlineLvl w:val="0"/>
        <w:rPr>
          <w:b/>
          <w:sz w:val="28"/>
        </w:rPr>
      </w:pPr>
      <w:r>
        <w:rPr>
          <w:i/>
          <w:sz w:val="22"/>
        </w:rPr>
        <w:t>Figure 8: Results for FTOF rates (top) and PMT currents (bottom) for electron</w:t>
      </w:r>
      <w:r w:rsidR="00BA1984">
        <w:rPr>
          <w:i/>
          <w:sz w:val="22"/>
        </w:rPr>
        <w:t>s</w:t>
      </w:r>
      <w:r>
        <w:rPr>
          <w:i/>
          <w:sz w:val="22"/>
        </w:rPr>
        <w:t xml:space="preserve"> in-bending and FT</w:t>
      </w:r>
      <w:r w:rsidR="00BA1984">
        <w:rPr>
          <w:i/>
          <w:sz w:val="22"/>
        </w:rPr>
        <w:t>O</w:t>
      </w:r>
      <w:r>
        <w:rPr>
          <w:i/>
          <w:sz w:val="22"/>
        </w:rPr>
        <w:t xml:space="preserve">ff configuration. Rates are calculated for a 1 MeV threshold on the energy deposited and are expressed in kHz while currents are in </w:t>
      </w:r>
      <w:r w:rsidR="00BA1984" w:rsidRPr="00BA1984">
        <w:rPr>
          <w:i/>
          <w:sz w:val="22"/>
        </w:rPr>
        <w:t>μA</w:t>
      </w:r>
      <w:r>
        <w:rPr>
          <w:i/>
          <w:sz w:val="22"/>
        </w:rPr>
        <w:t xml:space="preserve">. The different sets of x bins from left to right correspond to Panel-1B, Panel-1A and Panel 2 counters. </w:t>
      </w:r>
    </w:p>
    <w:p w14:paraId="443614E9" w14:textId="77777777" w:rsidR="00A45809" w:rsidRDefault="00A45809" w:rsidP="005758E8">
      <w:pPr>
        <w:outlineLvl w:val="0"/>
        <w:rPr>
          <w:b/>
          <w:sz w:val="28"/>
        </w:rPr>
      </w:pPr>
    </w:p>
    <w:p w14:paraId="01D77AE1" w14:textId="77777777" w:rsidR="00A45809" w:rsidRDefault="00A45809" w:rsidP="005758E8">
      <w:pPr>
        <w:outlineLvl w:val="0"/>
        <w:rPr>
          <w:b/>
          <w:sz w:val="28"/>
        </w:rPr>
      </w:pPr>
    </w:p>
    <w:p w14:paraId="4291B186" w14:textId="77777777" w:rsidR="00A45809" w:rsidRDefault="00A45809" w:rsidP="005758E8">
      <w:pPr>
        <w:outlineLvl w:val="0"/>
        <w:rPr>
          <w:b/>
          <w:sz w:val="28"/>
        </w:rPr>
      </w:pPr>
    </w:p>
    <w:p w14:paraId="6A544CD4" w14:textId="2A18EA0F" w:rsidR="00A45809" w:rsidRDefault="00645ED8" w:rsidP="005758E8">
      <w:pPr>
        <w:outlineLvl w:val="0"/>
        <w:rPr>
          <w:b/>
          <w:sz w:val="28"/>
        </w:rPr>
      </w:pPr>
      <w:r>
        <w:rPr>
          <w:b/>
          <w:noProof/>
          <w:sz w:val="28"/>
        </w:rPr>
        <w:drawing>
          <wp:inline distT="0" distB="0" distL="0" distR="0" wp14:anchorId="5975E3CC" wp14:editId="1844E3AE">
            <wp:extent cx="2545523"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al_occupancy_1MeV.pdf"/>
                    <pic:cNvPicPr/>
                  </pic:nvPicPr>
                  <pic:blipFill>
                    <a:blip r:embed="rId28">
                      <a:extLst>
                        <a:ext uri="{28A0092B-C50C-407E-A947-70E740481C1C}">
                          <a14:useLocalDpi xmlns:a14="http://schemas.microsoft.com/office/drawing/2010/main" val="0"/>
                        </a:ext>
                      </a:extLst>
                    </a:blip>
                    <a:stretch>
                      <a:fillRect/>
                    </a:stretch>
                  </pic:blipFill>
                  <pic:spPr>
                    <a:xfrm>
                      <a:off x="0" y="0"/>
                      <a:ext cx="2545567" cy="3314758"/>
                    </a:xfrm>
                    <a:prstGeom prst="rect">
                      <a:avLst/>
                    </a:prstGeom>
                  </pic:spPr>
                </pic:pic>
              </a:graphicData>
            </a:graphic>
          </wp:inline>
        </w:drawing>
      </w:r>
      <w:r>
        <w:rPr>
          <w:b/>
          <w:noProof/>
          <w:sz w:val="28"/>
        </w:rPr>
        <w:drawing>
          <wp:inline distT="0" distB="0" distL="0" distR="0" wp14:anchorId="18D81599" wp14:editId="07D370AB">
            <wp:extent cx="2545523"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al_occupancy_1MeV.pdf"/>
                    <pic:cNvPicPr/>
                  </pic:nvPicPr>
                  <pic:blipFill>
                    <a:blip r:embed="rId29">
                      <a:extLst>
                        <a:ext uri="{28A0092B-C50C-407E-A947-70E740481C1C}">
                          <a14:useLocalDpi xmlns:a14="http://schemas.microsoft.com/office/drawing/2010/main" val="0"/>
                        </a:ext>
                      </a:extLst>
                    </a:blip>
                    <a:stretch>
                      <a:fillRect/>
                    </a:stretch>
                  </pic:blipFill>
                  <pic:spPr>
                    <a:xfrm>
                      <a:off x="0" y="0"/>
                      <a:ext cx="2545567" cy="3314758"/>
                    </a:xfrm>
                    <a:prstGeom prst="rect">
                      <a:avLst/>
                    </a:prstGeom>
                  </pic:spPr>
                </pic:pic>
              </a:graphicData>
            </a:graphic>
          </wp:inline>
        </w:drawing>
      </w:r>
    </w:p>
    <w:p w14:paraId="212ECACF" w14:textId="470B3AB9" w:rsidR="00645ED8" w:rsidRDefault="00645ED8" w:rsidP="00645ED8">
      <w:pPr>
        <w:outlineLvl w:val="0"/>
        <w:rPr>
          <w:b/>
          <w:sz w:val="28"/>
        </w:rPr>
      </w:pPr>
      <w:r>
        <w:rPr>
          <w:i/>
          <w:sz w:val="22"/>
        </w:rPr>
        <w:t xml:space="preserve">Figure 9: Results for ECAL sector rates for </w:t>
      </w:r>
      <w:r w:rsidR="00BA1984">
        <w:rPr>
          <w:i/>
          <w:sz w:val="22"/>
        </w:rPr>
        <w:t xml:space="preserve">PCAL </w:t>
      </w:r>
      <w:r>
        <w:rPr>
          <w:i/>
          <w:sz w:val="22"/>
        </w:rPr>
        <w:t>(top), ECin (middle) and ECout (bottom) for electron</w:t>
      </w:r>
      <w:r w:rsidR="00BA1984">
        <w:rPr>
          <w:i/>
          <w:sz w:val="22"/>
        </w:rPr>
        <w:t>s</w:t>
      </w:r>
      <w:r>
        <w:rPr>
          <w:i/>
          <w:sz w:val="22"/>
        </w:rPr>
        <w:t xml:space="preserve"> in-bending (left column) and out-bending (right column). Rates are calculated for a 1 MeV threshold on the energy deposited and are expressed in kHz.</w:t>
      </w:r>
    </w:p>
    <w:p w14:paraId="04E35B36" w14:textId="77777777" w:rsidR="00645ED8" w:rsidRDefault="00645ED8" w:rsidP="005758E8">
      <w:pPr>
        <w:outlineLvl w:val="0"/>
        <w:rPr>
          <w:b/>
          <w:sz w:val="28"/>
        </w:rPr>
      </w:pPr>
    </w:p>
    <w:p w14:paraId="5B34996D" w14:textId="77777777" w:rsidR="00645ED8" w:rsidRPr="003D3248" w:rsidRDefault="00645ED8" w:rsidP="00645ED8">
      <w:pPr>
        <w:jc w:val="both"/>
        <w:rPr>
          <w:b/>
          <w:sz w:val="28"/>
        </w:rPr>
      </w:pPr>
      <w:r>
        <w:rPr>
          <w:b/>
          <w:sz w:val="28"/>
        </w:rPr>
        <w:t>Rates in the ECAL</w:t>
      </w:r>
    </w:p>
    <w:p w14:paraId="0BEED41A" w14:textId="77777777" w:rsidR="00645ED8" w:rsidRPr="003F398C" w:rsidRDefault="00645ED8" w:rsidP="00645ED8">
      <w:pPr>
        <w:jc w:val="both"/>
        <w:rPr>
          <w:i/>
          <w:sz w:val="22"/>
        </w:rPr>
      </w:pPr>
    </w:p>
    <w:p w14:paraId="644B9354" w14:textId="77777777" w:rsidR="00645ED8" w:rsidRDefault="00645ED8" w:rsidP="00645ED8"/>
    <w:p w14:paraId="425FEBF6" w14:textId="53F6296A" w:rsidR="00645ED8" w:rsidRDefault="00645ED8" w:rsidP="00645ED8">
      <w:pPr>
        <w:pStyle w:val="ListParagraph"/>
        <w:numPr>
          <w:ilvl w:val="0"/>
          <w:numId w:val="10"/>
        </w:numPr>
        <w:rPr>
          <w:b/>
        </w:rPr>
      </w:pPr>
      <w:r w:rsidRPr="00FA11EC">
        <w:rPr>
          <w:b/>
        </w:rPr>
        <w:t>FTOn Configuration</w:t>
      </w:r>
      <w:r>
        <w:rPr>
          <w:b/>
        </w:rPr>
        <w:t>, in-bending and out</w:t>
      </w:r>
      <w:r w:rsidR="00070CF4">
        <w:rPr>
          <w:b/>
        </w:rPr>
        <w:t>-</w:t>
      </w:r>
      <w:r>
        <w:rPr>
          <w:b/>
        </w:rPr>
        <w:t>bending electrons</w:t>
      </w:r>
    </w:p>
    <w:p w14:paraId="74EC0C2A" w14:textId="259F9D9A" w:rsidR="00645ED8" w:rsidRDefault="00645ED8" w:rsidP="00645ED8">
      <w:pPr>
        <w:outlineLvl w:val="0"/>
      </w:pPr>
      <w:r w:rsidRPr="003D3248">
        <w:t>Rates</w:t>
      </w:r>
      <w:r>
        <w:t xml:space="preserve"> for 1 MeV threshold on the energy deposition for ECAL strips are shown in Figure 9. The highest rates are in general found at the largest angles. No significant dependence on </w:t>
      </w:r>
      <w:r w:rsidR="007309A4">
        <w:t>the field polarity is observed. As for the</w:t>
      </w:r>
      <w:r>
        <w:t xml:space="preserve"> FTOF, the </w:t>
      </w:r>
      <w:r w:rsidR="008728F7">
        <w:t xml:space="preserve">ECAL </w:t>
      </w:r>
      <w:r>
        <w:t xml:space="preserve">rates strongly depend on the threshold, going from a maximum of about 2.5 MHz for 0 threshold, to the 400 kHz for 0.1 MeV, to 140 kHz for 1 MeV </w:t>
      </w:r>
      <w:r w:rsidR="00BA1984">
        <w:t>(</w:t>
      </w:r>
      <w:r>
        <w:t xml:space="preserve">as shown in </w:t>
      </w:r>
      <w:r w:rsidR="00BA1984">
        <w:t>Fig. 9)</w:t>
      </w:r>
      <w:r>
        <w:t>.</w:t>
      </w:r>
    </w:p>
    <w:p w14:paraId="0A0CC4C6" w14:textId="77777777" w:rsidR="00645ED8" w:rsidRDefault="00645ED8" w:rsidP="00645ED8">
      <w:pPr>
        <w:outlineLvl w:val="0"/>
      </w:pPr>
    </w:p>
    <w:p w14:paraId="325AAB2D" w14:textId="776DEB78" w:rsidR="00645ED8" w:rsidRDefault="00645ED8" w:rsidP="00645ED8">
      <w:pPr>
        <w:pStyle w:val="ListParagraph"/>
        <w:numPr>
          <w:ilvl w:val="0"/>
          <w:numId w:val="10"/>
        </w:numPr>
        <w:rPr>
          <w:b/>
        </w:rPr>
      </w:pPr>
      <w:r>
        <w:rPr>
          <w:b/>
        </w:rPr>
        <w:t>FTOff</w:t>
      </w:r>
      <w:r w:rsidRPr="005045C7">
        <w:rPr>
          <w:b/>
        </w:rPr>
        <w:t xml:space="preserve"> Configuration</w:t>
      </w:r>
    </w:p>
    <w:p w14:paraId="6A8A4403" w14:textId="4BCC4046" w:rsidR="00645ED8" w:rsidRDefault="00645ED8" w:rsidP="00645ED8">
      <w:pPr>
        <w:outlineLvl w:val="0"/>
      </w:pPr>
      <w:r>
        <w:t>Rates for the FT</w:t>
      </w:r>
      <w:r w:rsidR="00BA1984">
        <w:t>O</w:t>
      </w:r>
      <w:r>
        <w:t>ff configuration are reduced compared to FT</w:t>
      </w:r>
      <w:r w:rsidR="00BA1984">
        <w:t>On</w:t>
      </w:r>
      <w:r w:rsidR="00851097">
        <w:t xml:space="preserve"> </w:t>
      </w:r>
      <w:r>
        <w:t>on by about 10% as shown in Fig. 10. The rate dependence on the energy thresholds is similar to the FTon configuration</w:t>
      </w:r>
      <w:r w:rsidR="005C2BED">
        <w:t xml:space="preserve"> and reported in the previous paragraph.</w:t>
      </w:r>
    </w:p>
    <w:p w14:paraId="55601A7A" w14:textId="77777777" w:rsidR="00645ED8" w:rsidRDefault="00645ED8" w:rsidP="00645ED8">
      <w:pPr>
        <w:outlineLvl w:val="0"/>
      </w:pPr>
    </w:p>
    <w:p w14:paraId="62E4B008" w14:textId="0ECD159B" w:rsidR="00645ED8" w:rsidRDefault="00645ED8" w:rsidP="005C2BED">
      <w:pPr>
        <w:jc w:val="center"/>
        <w:outlineLvl w:val="0"/>
      </w:pPr>
      <w:r>
        <w:rPr>
          <w:noProof/>
        </w:rPr>
        <w:drawing>
          <wp:inline distT="0" distB="0" distL="0" distR="0" wp14:anchorId="2D13B3E8" wp14:editId="7D90B656">
            <wp:extent cx="4069911" cy="60604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al_occupancy_1MeV.pdf"/>
                    <pic:cNvPicPr/>
                  </pic:nvPicPr>
                  <pic:blipFill>
                    <a:blip r:embed="rId30">
                      <a:extLst>
                        <a:ext uri="{28A0092B-C50C-407E-A947-70E740481C1C}">
                          <a14:useLocalDpi xmlns:a14="http://schemas.microsoft.com/office/drawing/2010/main" val="0"/>
                        </a:ext>
                      </a:extLst>
                    </a:blip>
                    <a:stretch>
                      <a:fillRect/>
                    </a:stretch>
                  </pic:blipFill>
                  <pic:spPr>
                    <a:xfrm>
                      <a:off x="0" y="0"/>
                      <a:ext cx="4073310" cy="6065502"/>
                    </a:xfrm>
                    <a:prstGeom prst="rect">
                      <a:avLst/>
                    </a:prstGeom>
                  </pic:spPr>
                </pic:pic>
              </a:graphicData>
            </a:graphic>
          </wp:inline>
        </w:drawing>
      </w:r>
    </w:p>
    <w:p w14:paraId="2B3ED277" w14:textId="6AEF74CB" w:rsidR="00955942" w:rsidRDefault="00070934" w:rsidP="00645ED8">
      <w:pPr>
        <w:outlineLvl w:val="0"/>
        <w:rPr>
          <w:b/>
          <w:sz w:val="28"/>
        </w:rPr>
      </w:pPr>
      <w:r>
        <w:rPr>
          <w:i/>
          <w:sz w:val="22"/>
        </w:rPr>
        <w:t>Figure 10</w:t>
      </w:r>
      <w:r w:rsidR="005C2BED">
        <w:rPr>
          <w:i/>
          <w:sz w:val="22"/>
        </w:rPr>
        <w:t xml:space="preserve">: Results for ECAL sector rates for </w:t>
      </w:r>
      <w:r w:rsidR="00BA1984">
        <w:rPr>
          <w:i/>
          <w:sz w:val="22"/>
        </w:rPr>
        <w:t xml:space="preserve">PCAL </w:t>
      </w:r>
      <w:r w:rsidR="005C2BED">
        <w:rPr>
          <w:i/>
          <w:sz w:val="22"/>
        </w:rPr>
        <w:t>(top), ECin (middle) and ECout (bottom) for electron</w:t>
      </w:r>
      <w:r w:rsidR="00BA1984">
        <w:rPr>
          <w:i/>
          <w:sz w:val="22"/>
        </w:rPr>
        <w:t>s</w:t>
      </w:r>
      <w:r w:rsidR="005C2BED">
        <w:rPr>
          <w:i/>
          <w:sz w:val="22"/>
        </w:rPr>
        <w:t xml:space="preserve"> in-bending and FT</w:t>
      </w:r>
      <w:r w:rsidR="00BA1984">
        <w:rPr>
          <w:i/>
          <w:sz w:val="22"/>
        </w:rPr>
        <w:t>O</w:t>
      </w:r>
      <w:r w:rsidR="005C2BED">
        <w:rPr>
          <w:i/>
          <w:sz w:val="22"/>
        </w:rPr>
        <w:t>ff configuration. Rates are calculated for a 1 MeV threshold on the energy deposited and are expressed in kHz.</w:t>
      </w:r>
    </w:p>
    <w:p w14:paraId="598FAA1E" w14:textId="5D370C48" w:rsidR="00851097" w:rsidRPr="00851097" w:rsidRDefault="00851097" w:rsidP="00645ED8">
      <w:pPr>
        <w:outlineLvl w:val="0"/>
        <w:rPr>
          <w:b/>
          <w:sz w:val="28"/>
        </w:rPr>
      </w:pPr>
    </w:p>
    <w:p w14:paraId="319B2279" w14:textId="4B2B68A7" w:rsidR="00070CF4" w:rsidRDefault="00955942" w:rsidP="00955942">
      <w:pPr>
        <w:jc w:val="both"/>
        <w:rPr>
          <w:b/>
          <w:sz w:val="28"/>
        </w:rPr>
      </w:pPr>
      <w:r>
        <w:rPr>
          <w:b/>
          <w:sz w:val="28"/>
        </w:rPr>
        <w:t>Rates and PMT currents in the CTOF</w:t>
      </w:r>
    </w:p>
    <w:p w14:paraId="38E9AEAB" w14:textId="77777777" w:rsidR="00070CF4" w:rsidRDefault="00070CF4" w:rsidP="00955942">
      <w:pPr>
        <w:jc w:val="both"/>
        <w:rPr>
          <w:b/>
          <w:sz w:val="28"/>
        </w:rPr>
      </w:pPr>
    </w:p>
    <w:p w14:paraId="5F072ECC" w14:textId="3926682B" w:rsidR="00070CF4" w:rsidRPr="003D3248" w:rsidRDefault="00070CF4" w:rsidP="00070CF4">
      <w:pPr>
        <w:outlineLvl w:val="0"/>
      </w:pPr>
      <w:r>
        <w:t>R</w:t>
      </w:r>
      <w:r w:rsidRPr="003D3248">
        <w:t>ates</w:t>
      </w:r>
      <w:r>
        <w:t xml:space="preserve"> for CTOF counters do not depend on the beamline configuration or the field polarity but only on the threshold, varying from about 5 </w:t>
      </w:r>
      <w:r w:rsidR="003061CD">
        <w:t>M</w:t>
      </w:r>
      <w:r>
        <w:t>Hz for 0 threshold to about 150 kHz for 1 MeV threshold on the energy deposition. PMT currents are estimated to be in the range of 50 μA.</w:t>
      </w:r>
    </w:p>
    <w:p w14:paraId="3340FBC3" w14:textId="77777777" w:rsidR="00070CF4" w:rsidRPr="003D3248" w:rsidRDefault="00070CF4" w:rsidP="00955942">
      <w:pPr>
        <w:jc w:val="both"/>
        <w:rPr>
          <w:b/>
          <w:sz w:val="28"/>
        </w:rPr>
      </w:pPr>
    </w:p>
    <w:p w14:paraId="5EFA3C2F" w14:textId="77777777" w:rsidR="00955942" w:rsidRPr="003F398C" w:rsidRDefault="00955942" w:rsidP="00955942">
      <w:pPr>
        <w:jc w:val="both"/>
        <w:rPr>
          <w:i/>
          <w:sz w:val="22"/>
        </w:rPr>
      </w:pPr>
    </w:p>
    <w:p w14:paraId="7A899486" w14:textId="6311BBA2" w:rsidR="00C27A3F" w:rsidRDefault="00070CF4" w:rsidP="00070CF4">
      <w:pPr>
        <w:outlineLvl w:val="0"/>
        <w:rPr>
          <w:i/>
          <w:sz w:val="22"/>
        </w:rPr>
      </w:pPr>
      <w:r>
        <w:rPr>
          <w:b/>
          <w:noProof/>
          <w:sz w:val="28"/>
        </w:rPr>
        <w:drawing>
          <wp:anchor distT="0" distB="0" distL="114300" distR="114300" simplePos="0" relativeHeight="251658240" behindDoc="0" locked="0" layoutInCell="1" allowOverlap="1" wp14:anchorId="70C78F58" wp14:editId="57A48D90">
            <wp:simplePos x="0" y="0"/>
            <wp:positionH relativeFrom="margin">
              <wp:posOffset>1266190</wp:posOffset>
            </wp:positionH>
            <wp:positionV relativeFrom="paragraph">
              <wp:posOffset>-2011045</wp:posOffset>
            </wp:positionV>
            <wp:extent cx="2605405" cy="5492115"/>
            <wp:effectExtent l="4445"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t_rate.pdf"/>
                    <pic:cNvPicPr/>
                  </pic:nvPicPr>
                  <pic:blipFill>
                    <a:blip r:embed="rId31">
                      <a:extLst>
                        <a:ext uri="{28A0092B-C50C-407E-A947-70E740481C1C}">
                          <a14:useLocalDpi xmlns:a14="http://schemas.microsoft.com/office/drawing/2010/main" val="0"/>
                        </a:ext>
                      </a:extLst>
                    </a:blip>
                    <a:stretch>
                      <a:fillRect/>
                    </a:stretch>
                  </pic:blipFill>
                  <pic:spPr>
                    <a:xfrm rot="5400000">
                      <a:off x="0" y="0"/>
                      <a:ext cx="2605405" cy="5492115"/>
                    </a:xfrm>
                    <a:prstGeom prst="rect">
                      <a:avLst/>
                    </a:prstGeom>
                  </pic:spPr>
                </pic:pic>
              </a:graphicData>
            </a:graphic>
            <wp14:sizeRelH relativeFrom="page">
              <wp14:pctWidth>0</wp14:pctWidth>
            </wp14:sizeRelH>
            <wp14:sizeRelV relativeFrom="page">
              <wp14:pctHeight>0</wp14:pctHeight>
            </wp14:sizeRelV>
          </wp:anchor>
        </w:drawing>
      </w:r>
    </w:p>
    <w:p w14:paraId="26825159" w14:textId="77777777" w:rsidR="00070CF4" w:rsidRDefault="00070CF4" w:rsidP="00070CF4">
      <w:pPr>
        <w:outlineLvl w:val="0"/>
        <w:rPr>
          <w:b/>
          <w:sz w:val="28"/>
        </w:rPr>
      </w:pPr>
      <w:r>
        <w:rPr>
          <w:i/>
          <w:sz w:val="22"/>
        </w:rPr>
        <w:t xml:space="preserve">Figure 11: Rates (left) in kHz and energy deposition per unit of time (right) in MeV/ns for the FTCAL crystals in the FTOn configuration. </w:t>
      </w:r>
    </w:p>
    <w:p w14:paraId="449DE090" w14:textId="44B873DC" w:rsidR="00F933C5" w:rsidRDefault="00F933C5" w:rsidP="005758E8">
      <w:pPr>
        <w:outlineLvl w:val="0"/>
        <w:rPr>
          <w:b/>
          <w:noProof/>
          <w:sz w:val="28"/>
        </w:rPr>
      </w:pPr>
    </w:p>
    <w:p w14:paraId="7141989B" w14:textId="77777777" w:rsidR="006204BD" w:rsidRDefault="006204BD" w:rsidP="005758E8">
      <w:pPr>
        <w:outlineLvl w:val="0"/>
        <w:rPr>
          <w:b/>
          <w:noProof/>
          <w:sz w:val="28"/>
        </w:rPr>
      </w:pPr>
    </w:p>
    <w:p w14:paraId="7C886B77" w14:textId="5A662AF4" w:rsidR="006204BD" w:rsidRDefault="006204BD" w:rsidP="005758E8">
      <w:pPr>
        <w:outlineLvl w:val="0"/>
        <w:rPr>
          <w:b/>
          <w:noProof/>
          <w:sz w:val="28"/>
        </w:rPr>
      </w:pPr>
      <w:r>
        <w:rPr>
          <w:b/>
          <w:noProof/>
          <w:sz w:val="28"/>
        </w:rPr>
        <w:t>Rates and radiation doses on the FT detectors</w:t>
      </w:r>
    </w:p>
    <w:p w14:paraId="768AA5CF" w14:textId="77777777" w:rsidR="00A71CB1" w:rsidRDefault="00A71CB1" w:rsidP="005758E8">
      <w:pPr>
        <w:outlineLvl w:val="0"/>
        <w:rPr>
          <w:noProof/>
        </w:rPr>
      </w:pPr>
    </w:p>
    <w:p w14:paraId="16FDACC7" w14:textId="072F4EE5" w:rsidR="00A71CB1" w:rsidRPr="00A71CB1" w:rsidRDefault="00070934" w:rsidP="005758E8">
      <w:pPr>
        <w:outlineLvl w:val="0"/>
        <w:rPr>
          <w:noProof/>
        </w:rPr>
      </w:pPr>
      <w:r>
        <w:rPr>
          <w:noProof/>
        </w:rPr>
        <w:t xml:space="preserve">The estimated rates in kHz and energy deposition per unit of time in MeV/ns for </w:t>
      </w:r>
      <w:r w:rsidR="00C911F5">
        <w:rPr>
          <w:noProof/>
        </w:rPr>
        <w:t xml:space="preserve">the </w:t>
      </w:r>
      <w:r>
        <w:rPr>
          <w:noProof/>
        </w:rPr>
        <w:t>FTCAL in the FT</w:t>
      </w:r>
      <w:r w:rsidR="00C911F5">
        <w:rPr>
          <w:noProof/>
        </w:rPr>
        <w:t>O</w:t>
      </w:r>
      <w:r>
        <w:rPr>
          <w:noProof/>
        </w:rPr>
        <w:t>n configuration are shown in Fig. 11.</w:t>
      </w:r>
      <w:r w:rsidR="004E7218">
        <w:rPr>
          <w:noProof/>
        </w:rPr>
        <w:t xml:space="preserve"> The maximum rates reaching about 100 kHz are observed for the innermost crystal</w:t>
      </w:r>
      <w:r w:rsidR="00C911F5">
        <w:rPr>
          <w:noProof/>
        </w:rPr>
        <w:t>s</w:t>
      </w:r>
      <w:r w:rsidR="004E7218">
        <w:rPr>
          <w:noProof/>
        </w:rPr>
        <w:t xml:space="preserve"> that are closer to the beamline.</w:t>
      </w:r>
    </w:p>
    <w:p w14:paraId="0E35B8B5" w14:textId="77777777" w:rsidR="00851097" w:rsidRDefault="00851097" w:rsidP="005758E8">
      <w:pPr>
        <w:outlineLvl w:val="0"/>
      </w:pPr>
    </w:p>
    <w:p w14:paraId="188FA97F" w14:textId="1A317695" w:rsidR="006204BD" w:rsidRPr="004E7218" w:rsidRDefault="004E7218" w:rsidP="005758E8">
      <w:pPr>
        <w:outlineLvl w:val="0"/>
      </w:pPr>
      <w:r w:rsidRPr="004E7218">
        <w:t>Fig. 12</w:t>
      </w:r>
      <w:r w:rsidR="004650BD">
        <w:t xml:space="preserve"> shows the radiation dose in rad/h on the FTCAL for the FT</w:t>
      </w:r>
      <w:r w:rsidR="00C911F5">
        <w:t>O</w:t>
      </w:r>
      <w:r w:rsidR="004650BD">
        <w:t xml:space="preserve">n </w:t>
      </w:r>
      <w:r w:rsidR="00E315E4">
        <w:t>and FT</w:t>
      </w:r>
      <w:r w:rsidR="00C911F5">
        <w:t>O</w:t>
      </w:r>
      <w:r w:rsidR="00E315E4">
        <w:t>ff configurations, respectively. The maximum dose of about 3-4 rad/h is well within acceptable limits for both configurations. These differs</w:t>
      </w:r>
      <w:r w:rsidR="00C911F5">
        <w:t>,</w:t>
      </w:r>
      <w:r w:rsidR="00E315E4">
        <w:t xml:space="preserve"> however</w:t>
      </w:r>
      <w:r w:rsidR="00C911F5">
        <w:t>,</w:t>
      </w:r>
      <w:r w:rsidR="00E315E4">
        <w:t xml:space="preserve"> for the distribution within the calorimeter volume because of the additional shielding used in the FT</w:t>
      </w:r>
      <w:r w:rsidR="00C911F5">
        <w:t>O</w:t>
      </w:r>
      <w:r w:rsidR="00E315E4">
        <w:t>ff case.</w:t>
      </w:r>
    </w:p>
    <w:p w14:paraId="181AE614" w14:textId="6828626F" w:rsidR="00070934" w:rsidRDefault="004650BD" w:rsidP="005758E8">
      <w:pPr>
        <w:outlineLvl w:val="0"/>
        <w:rPr>
          <w:b/>
          <w:sz w:val="28"/>
        </w:rPr>
      </w:pPr>
      <w:r>
        <w:rPr>
          <w:b/>
          <w:noProof/>
          <w:sz w:val="28"/>
        </w:rPr>
        <w:drawing>
          <wp:inline distT="0" distB="0" distL="0" distR="0" wp14:anchorId="4B5FD69A" wp14:editId="4C224BC5">
            <wp:extent cx="2466670" cy="2590004"/>
            <wp:effectExtent l="0" t="10795" r="1206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rad.pdf"/>
                    <pic:cNvPicPr/>
                  </pic:nvPicPr>
                  <pic:blipFill>
                    <a:blip r:embed="rId32">
                      <a:extLst>
                        <a:ext uri="{28A0092B-C50C-407E-A947-70E740481C1C}">
                          <a14:useLocalDpi xmlns:a14="http://schemas.microsoft.com/office/drawing/2010/main" val="0"/>
                        </a:ext>
                      </a:extLst>
                    </a:blip>
                    <a:stretch>
                      <a:fillRect/>
                    </a:stretch>
                  </pic:blipFill>
                  <pic:spPr>
                    <a:xfrm rot="5400000">
                      <a:off x="0" y="0"/>
                      <a:ext cx="2466670" cy="2590004"/>
                    </a:xfrm>
                    <a:prstGeom prst="rect">
                      <a:avLst/>
                    </a:prstGeom>
                  </pic:spPr>
                </pic:pic>
              </a:graphicData>
            </a:graphic>
          </wp:inline>
        </w:drawing>
      </w:r>
      <w:r w:rsidR="00E315E4">
        <w:rPr>
          <w:b/>
          <w:noProof/>
          <w:sz w:val="28"/>
        </w:rPr>
        <w:drawing>
          <wp:inline distT="0" distB="0" distL="0" distR="0" wp14:anchorId="705526CB" wp14:editId="5F6F5893">
            <wp:extent cx="2418547" cy="2539474"/>
            <wp:effectExtent l="0" t="9843" r="10478" b="1047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_rad.pdf"/>
                    <pic:cNvPicPr/>
                  </pic:nvPicPr>
                  <pic:blipFill>
                    <a:blip r:embed="rId33">
                      <a:extLst>
                        <a:ext uri="{28A0092B-C50C-407E-A947-70E740481C1C}">
                          <a14:useLocalDpi xmlns:a14="http://schemas.microsoft.com/office/drawing/2010/main" val="0"/>
                        </a:ext>
                      </a:extLst>
                    </a:blip>
                    <a:stretch>
                      <a:fillRect/>
                    </a:stretch>
                  </pic:blipFill>
                  <pic:spPr>
                    <a:xfrm rot="5400000">
                      <a:off x="0" y="0"/>
                      <a:ext cx="2418761" cy="2539699"/>
                    </a:xfrm>
                    <a:prstGeom prst="rect">
                      <a:avLst/>
                    </a:prstGeom>
                  </pic:spPr>
                </pic:pic>
              </a:graphicData>
            </a:graphic>
          </wp:inline>
        </w:drawing>
      </w:r>
    </w:p>
    <w:p w14:paraId="5AF949BB" w14:textId="636A703A" w:rsidR="00070934" w:rsidRDefault="00E315E4" w:rsidP="005758E8">
      <w:pPr>
        <w:outlineLvl w:val="0"/>
        <w:rPr>
          <w:i/>
          <w:sz w:val="22"/>
        </w:rPr>
      </w:pPr>
      <w:r>
        <w:rPr>
          <w:i/>
          <w:sz w:val="22"/>
        </w:rPr>
        <w:t>Figure 12: Radiation dose in rad/h on the FTCAL for the FT</w:t>
      </w:r>
      <w:r w:rsidR="00C911F5">
        <w:rPr>
          <w:i/>
          <w:sz w:val="22"/>
        </w:rPr>
        <w:t>O</w:t>
      </w:r>
      <w:r>
        <w:rPr>
          <w:i/>
          <w:sz w:val="22"/>
        </w:rPr>
        <w:t>n (left) and FT</w:t>
      </w:r>
      <w:r w:rsidR="00C911F5">
        <w:rPr>
          <w:i/>
          <w:sz w:val="22"/>
        </w:rPr>
        <w:t>O</w:t>
      </w:r>
      <w:r>
        <w:rPr>
          <w:i/>
          <w:sz w:val="22"/>
        </w:rPr>
        <w:t>ff (right) configurations.</w:t>
      </w:r>
    </w:p>
    <w:p w14:paraId="123F7019" w14:textId="77777777" w:rsidR="00E315E4" w:rsidRDefault="00E315E4" w:rsidP="005758E8">
      <w:pPr>
        <w:outlineLvl w:val="0"/>
        <w:rPr>
          <w:i/>
          <w:sz w:val="22"/>
        </w:rPr>
      </w:pPr>
    </w:p>
    <w:p w14:paraId="5ED7C2F3" w14:textId="77777777" w:rsidR="00C27A3F" w:rsidRDefault="00C27A3F" w:rsidP="005758E8">
      <w:pPr>
        <w:outlineLvl w:val="0"/>
        <w:rPr>
          <w:i/>
          <w:sz w:val="22"/>
        </w:rPr>
      </w:pPr>
    </w:p>
    <w:p w14:paraId="26BC2C4D" w14:textId="77777777" w:rsidR="00E315E4" w:rsidRDefault="00E315E4" w:rsidP="005758E8">
      <w:pPr>
        <w:outlineLvl w:val="0"/>
        <w:rPr>
          <w:b/>
          <w:sz w:val="28"/>
        </w:rPr>
      </w:pPr>
    </w:p>
    <w:p w14:paraId="36894057" w14:textId="77777777" w:rsidR="00795D7A" w:rsidRDefault="00795D7A" w:rsidP="005758E8">
      <w:pPr>
        <w:outlineLvl w:val="0"/>
        <w:rPr>
          <w:b/>
          <w:sz w:val="28"/>
        </w:rPr>
      </w:pPr>
    </w:p>
    <w:p w14:paraId="4A761728" w14:textId="77777777" w:rsidR="00795D7A" w:rsidRDefault="00795D7A" w:rsidP="005758E8">
      <w:pPr>
        <w:outlineLvl w:val="0"/>
        <w:rPr>
          <w:b/>
          <w:sz w:val="28"/>
        </w:rPr>
      </w:pPr>
    </w:p>
    <w:p w14:paraId="2F63334C" w14:textId="77777777" w:rsidR="00795D7A" w:rsidRDefault="00795D7A" w:rsidP="005758E8">
      <w:pPr>
        <w:outlineLvl w:val="0"/>
        <w:rPr>
          <w:b/>
          <w:sz w:val="28"/>
        </w:rPr>
      </w:pPr>
    </w:p>
    <w:p w14:paraId="18996FC4" w14:textId="77777777" w:rsidR="008612F1" w:rsidRPr="00F130E7" w:rsidRDefault="008612F1" w:rsidP="005758E8">
      <w:pPr>
        <w:outlineLvl w:val="0"/>
        <w:rPr>
          <w:b/>
          <w:sz w:val="28"/>
        </w:rPr>
      </w:pPr>
      <w:r>
        <w:rPr>
          <w:b/>
          <w:sz w:val="28"/>
        </w:rPr>
        <w:t>References</w:t>
      </w:r>
    </w:p>
    <w:p w14:paraId="5B8BC8F5" w14:textId="77777777" w:rsidR="00CA22FC" w:rsidRDefault="00CA22FC" w:rsidP="008612F1">
      <w:pPr>
        <w:jc w:val="both"/>
      </w:pPr>
    </w:p>
    <w:p w14:paraId="516177D0" w14:textId="337C5EE7" w:rsidR="008612F1" w:rsidRPr="00795D7A" w:rsidRDefault="006D6049" w:rsidP="008612F1">
      <w:pPr>
        <w:jc w:val="both"/>
      </w:pPr>
      <w:r>
        <w:rPr>
          <w:i/>
        </w:rPr>
        <w:t xml:space="preserve">[1] </w:t>
      </w:r>
      <w:r w:rsidR="008612F1" w:rsidRPr="009C11F9">
        <w:rPr>
          <w:i/>
        </w:rPr>
        <w:t xml:space="preserve">R. De Vita and M. Ungaro, </w:t>
      </w:r>
      <w:r w:rsidR="008612F1" w:rsidRPr="0023713F">
        <w:rPr>
          <w:b/>
          <w:i/>
        </w:rPr>
        <w:t>CLAS12-note 2016-006</w:t>
      </w:r>
      <w:r w:rsidR="00795D7A" w:rsidRPr="009C11F9">
        <w:rPr>
          <w:i/>
        </w:rPr>
        <w:t>:</w:t>
      </w:r>
      <w:r w:rsidR="008612F1">
        <w:t xml:space="preserve"> </w:t>
      </w:r>
      <w:r w:rsidR="008612F1" w:rsidRPr="00795D7A">
        <w:t>Moller shield simulations: comparison of the GEMC-optimized layout and the engineering design.</w:t>
      </w:r>
    </w:p>
    <w:p w14:paraId="165EC4DD" w14:textId="77777777" w:rsidR="00C27A3F" w:rsidRDefault="00C27A3F" w:rsidP="008612F1">
      <w:pPr>
        <w:jc w:val="both"/>
      </w:pPr>
    </w:p>
    <w:p w14:paraId="50BEDD82" w14:textId="77777777" w:rsidR="006D6049" w:rsidRDefault="006D6049" w:rsidP="006D6049">
      <w:pPr>
        <w:jc w:val="both"/>
      </w:pPr>
    </w:p>
    <w:p w14:paraId="4544A6C2" w14:textId="7C68EAF5" w:rsidR="006D6049" w:rsidRPr="00795D7A" w:rsidRDefault="006D6049" w:rsidP="006D6049">
      <w:pPr>
        <w:jc w:val="both"/>
      </w:pPr>
      <w:r>
        <w:rPr>
          <w:i/>
        </w:rPr>
        <w:t xml:space="preserve">[2] </w:t>
      </w:r>
      <w:r w:rsidR="009F6642" w:rsidRPr="009F6642">
        <w:rPr>
          <w:i/>
        </w:rPr>
        <w:t>R. De Vita, L. Elouadrhiri, R. Miller, S. Stepanyan, M. Ungaro, C. Wiggins, M</w:t>
      </w:r>
      <w:r w:rsidR="009F6642">
        <w:rPr>
          <w:i/>
        </w:rPr>
        <w:t xml:space="preserve">. Zarecky, A. Kim and J. A. Tan, </w:t>
      </w:r>
      <w:r w:rsidR="009F6642" w:rsidRPr="0023713F">
        <w:rPr>
          <w:b/>
          <w:i/>
        </w:rPr>
        <w:t>CLAS12-note 2017-012</w:t>
      </w:r>
      <w:r w:rsidRPr="009C11F9">
        <w:rPr>
          <w:i/>
        </w:rPr>
        <w:t>:</w:t>
      </w:r>
      <w:r>
        <w:t xml:space="preserve"> </w:t>
      </w:r>
      <w:r w:rsidR="009F6642" w:rsidRPr="009F6642">
        <w:t>Corrections to CLAS12 vacuum beamline</w:t>
      </w:r>
    </w:p>
    <w:p w14:paraId="2F5532BF" w14:textId="77777777" w:rsidR="006D6049" w:rsidRDefault="006D6049" w:rsidP="008612F1">
      <w:pPr>
        <w:jc w:val="both"/>
      </w:pPr>
    </w:p>
    <w:p w14:paraId="19A20248" w14:textId="77777777" w:rsidR="006D6049" w:rsidRDefault="006D6049" w:rsidP="006D6049">
      <w:pPr>
        <w:jc w:val="both"/>
      </w:pPr>
    </w:p>
    <w:p w14:paraId="773E4FE8" w14:textId="679F5CD2" w:rsidR="006D6049" w:rsidRPr="00795D7A" w:rsidRDefault="006D6049" w:rsidP="006D6049">
      <w:pPr>
        <w:jc w:val="both"/>
      </w:pPr>
      <w:r>
        <w:rPr>
          <w:i/>
        </w:rPr>
        <w:t xml:space="preserve">[3] </w:t>
      </w:r>
      <w:r w:rsidR="0023713F">
        <w:rPr>
          <w:i/>
        </w:rPr>
        <w:t xml:space="preserve">M. Ungaro, </w:t>
      </w:r>
      <w:r w:rsidR="0023713F" w:rsidRPr="0023713F">
        <w:rPr>
          <w:b/>
          <w:i/>
        </w:rPr>
        <w:t>CLAS12-note 2017-013</w:t>
      </w:r>
      <w:r w:rsidRPr="009C11F9">
        <w:rPr>
          <w:i/>
        </w:rPr>
        <w:t>:</w:t>
      </w:r>
      <w:r>
        <w:t xml:space="preserve"> </w:t>
      </w:r>
      <w:r w:rsidR="0023713F" w:rsidRPr="0023713F">
        <w:t>Corrections to CLAS12 target design</w:t>
      </w:r>
      <w:r w:rsidRPr="00795D7A">
        <w:t>.</w:t>
      </w:r>
    </w:p>
    <w:p w14:paraId="38F7E892" w14:textId="77777777" w:rsidR="006D6049" w:rsidRDefault="006D6049" w:rsidP="008612F1">
      <w:pPr>
        <w:jc w:val="both"/>
      </w:pPr>
    </w:p>
    <w:p w14:paraId="4CB30AEE" w14:textId="77777777" w:rsidR="00C27A3F" w:rsidRDefault="00C27A3F" w:rsidP="008612F1">
      <w:pPr>
        <w:jc w:val="both"/>
      </w:pPr>
    </w:p>
    <w:p w14:paraId="3A1493DA" w14:textId="42A5588B" w:rsidR="007805A0" w:rsidRDefault="007805A0" w:rsidP="008612F1">
      <w:pPr>
        <w:jc w:val="both"/>
      </w:pPr>
      <w:r>
        <w:rPr>
          <w:i/>
        </w:rPr>
        <w:t>[4</w:t>
      </w:r>
      <w:r>
        <w:rPr>
          <w:i/>
        </w:rPr>
        <w:t xml:space="preserve">] </w:t>
      </w:r>
      <w:r w:rsidRPr="007805A0">
        <w:rPr>
          <w:i/>
        </w:rPr>
        <w:t>D.S. Carman</w:t>
      </w:r>
      <w:r>
        <w:rPr>
          <w:i/>
        </w:rPr>
        <w:t xml:space="preserve">, </w:t>
      </w:r>
      <w:r w:rsidR="00BC6E37">
        <w:rPr>
          <w:b/>
          <w:i/>
        </w:rPr>
        <w:t>FTOF-note 2014</w:t>
      </w:r>
      <w:r w:rsidRPr="0023713F">
        <w:rPr>
          <w:b/>
          <w:i/>
        </w:rPr>
        <w:t>-0</w:t>
      </w:r>
      <w:r w:rsidR="00BC6E37">
        <w:rPr>
          <w:b/>
          <w:i/>
        </w:rPr>
        <w:t>6</w:t>
      </w:r>
      <w:r w:rsidRPr="009C11F9">
        <w:rPr>
          <w:i/>
        </w:rPr>
        <w:t>:</w:t>
      </w:r>
      <w:r>
        <w:t xml:space="preserve"> </w:t>
      </w:r>
      <w:r w:rsidR="00BC6E37" w:rsidRPr="00BC6E37">
        <w:t>Forward Time-of-Flight PMT Currents</w:t>
      </w:r>
      <w:r w:rsidR="00BC6E37">
        <w:t>.</w:t>
      </w:r>
    </w:p>
    <w:p w14:paraId="618CEB0C" w14:textId="77777777" w:rsidR="008612F1" w:rsidRDefault="008612F1" w:rsidP="00F10884"/>
    <w:p w14:paraId="76221E72" w14:textId="77777777" w:rsidR="008612F1" w:rsidRDefault="008612F1" w:rsidP="008612F1">
      <w:pPr>
        <w:jc w:val="center"/>
      </w:pPr>
    </w:p>
    <w:p w14:paraId="4542F7E7" w14:textId="77777777" w:rsidR="00965A15" w:rsidRPr="008418AB" w:rsidRDefault="00965A15" w:rsidP="008612F1"/>
    <w:sectPr w:rsidR="00965A15" w:rsidRPr="008418AB" w:rsidSect="00EF64AD">
      <w:footerReference w:type="even"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05ACD" w14:textId="77777777" w:rsidR="00525115" w:rsidRDefault="00525115" w:rsidP="0058116A">
      <w:r>
        <w:separator/>
      </w:r>
    </w:p>
  </w:endnote>
  <w:endnote w:type="continuationSeparator" w:id="0">
    <w:p w14:paraId="609F35F2" w14:textId="77777777" w:rsidR="00525115" w:rsidRDefault="00525115" w:rsidP="0058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1573A" w14:textId="77777777" w:rsidR="00E05D93" w:rsidRDefault="00E05D93"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5B0ED" w14:textId="77777777" w:rsidR="00E05D93" w:rsidRDefault="00E05D93" w:rsidP="00504D5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E1A6E" w14:textId="77777777" w:rsidR="00E05D93" w:rsidRDefault="00E05D93"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5115">
      <w:rPr>
        <w:rStyle w:val="PageNumber"/>
        <w:noProof/>
      </w:rPr>
      <w:t>1</w:t>
    </w:r>
    <w:r>
      <w:rPr>
        <w:rStyle w:val="PageNumber"/>
      </w:rPr>
      <w:fldChar w:fldCharType="end"/>
    </w:r>
  </w:p>
  <w:p w14:paraId="73F038C0" w14:textId="77777777" w:rsidR="00E05D93" w:rsidRDefault="00E05D93" w:rsidP="00156B5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5AD04" w14:textId="77777777" w:rsidR="00525115" w:rsidRDefault="00525115" w:rsidP="0058116A">
      <w:r>
        <w:separator/>
      </w:r>
    </w:p>
  </w:footnote>
  <w:footnote w:type="continuationSeparator" w:id="0">
    <w:p w14:paraId="4EA4A4B6" w14:textId="77777777" w:rsidR="00525115" w:rsidRDefault="00525115" w:rsidP="005811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3B45"/>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3794F"/>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15DA4"/>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58634E"/>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CF6C1E"/>
    <w:multiLevelType w:val="hybridMultilevel"/>
    <w:tmpl w:val="59626278"/>
    <w:lvl w:ilvl="0" w:tplc="EDDCCA8E">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B3791B"/>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DC75BD"/>
    <w:multiLevelType w:val="hybridMultilevel"/>
    <w:tmpl w:val="BC4E7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EB20AA"/>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BD152F"/>
    <w:multiLevelType w:val="hybridMultilevel"/>
    <w:tmpl w:val="BD3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E653B0"/>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906DF7"/>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4024B3"/>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5"/>
  </w:num>
  <w:num w:numId="5">
    <w:abstractNumId w:val="3"/>
  </w:num>
  <w:num w:numId="6">
    <w:abstractNumId w:val="10"/>
  </w:num>
  <w:num w:numId="7">
    <w:abstractNumId w:val="11"/>
  </w:num>
  <w:num w:numId="8">
    <w:abstractNumId w:val="2"/>
  </w:num>
  <w:num w:numId="9">
    <w:abstractNumId w:val="0"/>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4C6"/>
    <w:rsid w:val="00000F41"/>
    <w:rsid w:val="00010258"/>
    <w:rsid w:val="00031075"/>
    <w:rsid w:val="00056937"/>
    <w:rsid w:val="00070934"/>
    <w:rsid w:val="00070CF4"/>
    <w:rsid w:val="000B1D08"/>
    <w:rsid w:val="000C6260"/>
    <w:rsid w:val="000C660B"/>
    <w:rsid w:val="000D282B"/>
    <w:rsid w:val="000D4201"/>
    <w:rsid w:val="000E0329"/>
    <w:rsid w:val="000E1D33"/>
    <w:rsid w:val="000E6C60"/>
    <w:rsid w:val="001022E8"/>
    <w:rsid w:val="00134D62"/>
    <w:rsid w:val="0014198C"/>
    <w:rsid w:val="00145C06"/>
    <w:rsid w:val="00154D1D"/>
    <w:rsid w:val="00156B53"/>
    <w:rsid w:val="00164FA1"/>
    <w:rsid w:val="00165E3C"/>
    <w:rsid w:val="00171337"/>
    <w:rsid w:val="00183571"/>
    <w:rsid w:val="00194D49"/>
    <w:rsid w:val="00196481"/>
    <w:rsid w:val="001A4C9B"/>
    <w:rsid w:val="001A6287"/>
    <w:rsid w:val="001C1A86"/>
    <w:rsid w:val="001D26E1"/>
    <w:rsid w:val="001E2325"/>
    <w:rsid w:val="001E3E26"/>
    <w:rsid w:val="00202799"/>
    <w:rsid w:val="00205822"/>
    <w:rsid w:val="002250C6"/>
    <w:rsid w:val="0023713F"/>
    <w:rsid w:val="00240752"/>
    <w:rsid w:val="0024080F"/>
    <w:rsid w:val="002410F6"/>
    <w:rsid w:val="0024569C"/>
    <w:rsid w:val="002B2717"/>
    <w:rsid w:val="002B71C6"/>
    <w:rsid w:val="00301324"/>
    <w:rsid w:val="0030513B"/>
    <w:rsid w:val="003061CD"/>
    <w:rsid w:val="00324BAD"/>
    <w:rsid w:val="00324C0C"/>
    <w:rsid w:val="003465B5"/>
    <w:rsid w:val="00361416"/>
    <w:rsid w:val="00365840"/>
    <w:rsid w:val="00365D04"/>
    <w:rsid w:val="00367590"/>
    <w:rsid w:val="00372BAA"/>
    <w:rsid w:val="003C28DE"/>
    <w:rsid w:val="003C296C"/>
    <w:rsid w:val="003D3248"/>
    <w:rsid w:val="003E39E5"/>
    <w:rsid w:val="003E75B2"/>
    <w:rsid w:val="003F3539"/>
    <w:rsid w:val="003F36FB"/>
    <w:rsid w:val="003F398C"/>
    <w:rsid w:val="003F7990"/>
    <w:rsid w:val="00437E79"/>
    <w:rsid w:val="00451B0F"/>
    <w:rsid w:val="00455600"/>
    <w:rsid w:val="00463694"/>
    <w:rsid w:val="00463B17"/>
    <w:rsid w:val="004650BD"/>
    <w:rsid w:val="00472F70"/>
    <w:rsid w:val="00485A35"/>
    <w:rsid w:val="004A1F89"/>
    <w:rsid w:val="004A43C1"/>
    <w:rsid w:val="004B59BF"/>
    <w:rsid w:val="004C1F11"/>
    <w:rsid w:val="004D314A"/>
    <w:rsid w:val="004D5116"/>
    <w:rsid w:val="004D5266"/>
    <w:rsid w:val="004E7218"/>
    <w:rsid w:val="004F252F"/>
    <w:rsid w:val="0050451E"/>
    <w:rsid w:val="005045C7"/>
    <w:rsid w:val="00504D5F"/>
    <w:rsid w:val="00525115"/>
    <w:rsid w:val="005257E1"/>
    <w:rsid w:val="00546849"/>
    <w:rsid w:val="00557238"/>
    <w:rsid w:val="005758E8"/>
    <w:rsid w:val="0058116A"/>
    <w:rsid w:val="0058275E"/>
    <w:rsid w:val="00586166"/>
    <w:rsid w:val="00592724"/>
    <w:rsid w:val="005B6F1A"/>
    <w:rsid w:val="005C144D"/>
    <w:rsid w:val="005C2BED"/>
    <w:rsid w:val="005C7AFC"/>
    <w:rsid w:val="005D3AEB"/>
    <w:rsid w:val="005E5A75"/>
    <w:rsid w:val="005E731B"/>
    <w:rsid w:val="005F4047"/>
    <w:rsid w:val="006204BD"/>
    <w:rsid w:val="006255CD"/>
    <w:rsid w:val="00627870"/>
    <w:rsid w:val="00630FF1"/>
    <w:rsid w:val="00634B8F"/>
    <w:rsid w:val="0064140E"/>
    <w:rsid w:val="00645ED8"/>
    <w:rsid w:val="006625BB"/>
    <w:rsid w:val="00666EDC"/>
    <w:rsid w:val="00667C9E"/>
    <w:rsid w:val="00695B34"/>
    <w:rsid w:val="006A621E"/>
    <w:rsid w:val="006C4600"/>
    <w:rsid w:val="006C66BE"/>
    <w:rsid w:val="006C6C5B"/>
    <w:rsid w:val="006D6049"/>
    <w:rsid w:val="006E4119"/>
    <w:rsid w:val="007309A4"/>
    <w:rsid w:val="00744F78"/>
    <w:rsid w:val="0075039A"/>
    <w:rsid w:val="00776215"/>
    <w:rsid w:val="007805A0"/>
    <w:rsid w:val="00792A40"/>
    <w:rsid w:val="00795D7A"/>
    <w:rsid w:val="007A47AE"/>
    <w:rsid w:val="007B506C"/>
    <w:rsid w:val="007B5C9C"/>
    <w:rsid w:val="007B636F"/>
    <w:rsid w:val="007C376F"/>
    <w:rsid w:val="007C743C"/>
    <w:rsid w:val="007E55E2"/>
    <w:rsid w:val="00815DCB"/>
    <w:rsid w:val="0082258F"/>
    <w:rsid w:val="008269F3"/>
    <w:rsid w:val="00837452"/>
    <w:rsid w:val="008418AB"/>
    <w:rsid w:val="00851097"/>
    <w:rsid w:val="00852743"/>
    <w:rsid w:val="00860A0B"/>
    <w:rsid w:val="008612F1"/>
    <w:rsid w:val="008638A4"/>
    <w:rsid w:val="0086644F"/>
    <w:rsid w:val="00870DDE"/>
    <w:rsid w:val="008728F7"/>
    <w:rsid w:val="00883A40"/>
    <w:rsid w:val="00887AF0"/>
    <w:rsid w:val="008A0862"/>
    <w:rsid w:val="008A729B"/>
    <w:rsid w:val="008B1D8D"/>
    <w:rsid w:val="008D0722"/>
    <w:rsid w:val="008D72AF"/>
    <w:rsid w:val="008E1568"/>
    <w:rsid w:val="008F1F00"/>
    <w:rsid w:val="00902812"/>
    <w:rsid w:val="00902EDE"/>
    <w:rsid w:val="009054C6"/>
    <w:rsid w:val="009131F8"/>
    <w:rsid w:val="00921AEF"/>
    <w:rsid w:val="009250ED"/>
    <w:rsid w:val="00955942"/>
    <w:rsid w:val="009571F7"/>
    <w:rsid w:val="0096562C"/>
    <w:rsid w:val="00965A15"/>
    <w:rsid w:val="00973AE5"/>
    <w:rsid w:val="009976DB"/>
    <w:rsid w:val="009A3CEF"/>
    <w:rsid w:val="009B4BFD"/>
    <w:rsid w:val="009C11F9"/>
    <w:rsid w:val="009C7E37"/>
    <w:rsid w:val="009D7F5F"/>
    <w:rsid w:val="009F6642"/>
    <w:rsid w:val="00A04D5B"/>
    <w:rsid w:val="00A22DB4"/>
    <w:rsid w:val="00A353AF"/>
    <w:rsid w:val="00A35519"/>
    <w:rsid w:val="00A45809"/>
    <w:rsid w:val="00A71CB1"/>
    <w:rsid w:val="00A753BC"/>
    <w:rsid w:val="00A77CDB"/>
    <w:rsid w:val="00A9787A"/>
    <w:rsid w:val="00AC2569"/>
    <w:rsid w:val="00AD1D98"/>
    <w:rsid w:val="00AE0F38"/>
    <w:rsid w:val="00AF541A"/>
    <w:rsid w:val="00B06782"/>
    <w:rsid w:val="00B139E9"/>
    <w:rsid w:val="00B15F45"/>
    <w:rsid w:val="00B23F41"/>
    <w:rsid w:val="00B26FFB"/>
    <w:rsid w:val="00B45A71"/>
    <w:rsid w:val="00B47E22"/>
    <w:rsid w:val="00B614EB"/>
    <w:rsid w:val="00B72252"/>
    <w:rsid w:val="00B728B5"/>
    <w:rsid w:val="00B95FFA"/>
    <w:rsid w:val="00BA1984"/>
    <w:rsid w:val="00BC5572"/>
    <w:rsid w:val="00BC6E37"/>
    <w:rsid w:val="00BE4202"/>
    <w:rsid w:val="00BE4CFA"/>
    <w:rsid w:val="00BE7F2E"/>
    <w:rsid w:val="00BF26E3"/>
    <w:rsid w:val="00C02F95"/>
    <w:rsid w:val="00C050B9"/>
    <w:rsid w:val="00C27A3F"/>
    <w:rsid w:val="00C3150E"/>
    <w:rsid w:val="00C50004"/>
    <w:rsid w:val="00C543A8"/>
    <w:rsid w:val="00C6043B"/>
    <w:rsid w:val="00C62A99"/>
    <w:rsid w:val="00C911F5"/>
    <w:rsid w:val="00CA22FC"/>
    <w:rsid w:val="00CC2C3A"/>
    <w:rsid w:val="00CD2F45"/>
    <w:rsid w:val="00CD3F1C"/>
    <w:rsid w:val="00CF5A33"/>
    <w:rsid w:val="00CF7FB3"/>
    <w:rsid w:val="00D145BD"/>
    <w:rsid w:val="00D26AB5"/>
    <w:rsid w:val="00D27150"/>
    <w:rsid w:val="00D53D69"/>
    <w:rsid w:val="00D6602A"/>
    <w:rsid w:val="00D67C9D"/>
    <w:rsid w:val="00D75A71"/>
    <w:rsid w:val="00D96E58"/>
    <w:rsid w:val="00DA6D90"/>
    <w:rsid w:val="00DC3473"/>
    <w:rsid w:val="00DE1674"/>
    <w:rsid w:val="00DE5328"/>
    <w:rsid w:val="00E05D93"/>
    <w:rsid w:val="00E21E47"/>
    <w:rsid w:val="00E23E57"/>
    <w:rsid w:val="00E315E4"/>
    <w:rsid w:val="00E671D5"/>
    <w:rsid w:val="00E84059"/>
    <w:rsid w:val="00E85B37"/>
    <w:rsid w:val="00E87145"/>
    <w:rsid w:val="00E92C62"/>
    <w:rsid w:val="00E95081"/>
    <w:rsid w:val="00E96186"/>
    <w:rsid w:val="00EA7A9B"/>
    <w:rsid w:val="00EB7B17"/>
    <w:rsid w:val="00EC1CA0"/>
    <w:rsid w:val="00ED1213"/>
    <w:rsid w:val="00EE018D"/>
    <w:rsid w:val="00EF64AD"/>
    <w:rsid w:val="00F0377F"/>
    <w:rsid w:val="00F04B8F"/>
    <w:rsid w:val="00F04DD4"/>
    <w:rsid w:val="00F10884"/>
    <w:rsid w:val="00F130E7"/>
    <w:rsid w:val="00F14551"/>
    <w:rsid w:val="00F151C4"/>
    <w:rsid w:val="00F349D0"/>
    <w:rsid w:val="00F536FB"/>
    <w:rsid w:val="00F57332"/>
    <w:rsid w:val="00F66DB9"/>
    <w:rsid w:val="00F74A3E"/>
    <w:rsid w:val="00F76AE5"/>
    <w:rsid w:val="00F86BDA"/>
    <w:rsid w:val="00F933C5"/>
    <w:rsid w:val="00FA11EC"/>
    <w:rsid w:val="00FA6998"/>
    <w:rsid w:val="00FC42CB"/>
    <w:rsid w:val="00FD5B79"/>
    <w:rsid w:val="00FD715D"/>
    <w:rsid w:val="00FE3E36"/>
    <w:rsid w:val="00FF174A"/>
    <w:rsid w:val="00FF2992"/>
    <w:rsid w:val="00FF78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85A29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3F4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D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DDE"/>
    <w:rPr>
      <w:rFonts w:ascii="Lucida Grande" w:hAnsi="Lucida Grande" w:cs="Lucida Grande"/>
      <w:sz w:val="18"/>
      <w:szCs w:val="18"/>
    </w:rPr>
  </w:style>
  <w:style w:type="paragraph" w:styleId="ListParagraph">
    <w:name w:val="List Paragraph"/>
    <w:basedOn w:val="Normal"/>
    <w:uiPriority w:val="34"/>
    <w:qFormat/>
    <w:rsid w:val="002250C6"/>
    <w:pPr>
      <w:ind w:left="720"/>
      <w:contextualSpacing/>
    </w:pPr>
    <w:rPr>
      <w:rFonts w:asciiTheme="minorHAnsi" w:hAnsiTheme="minorHAnsi" w:cstheme="minorBidi"/>
    </w:rPr>
  </w:style>
  <w:style w:type="paragraph" w:styleId="DocumentMap">
    <w:name w:val="Document Map"/>
    <w:basedOn w:val="Normal"/>
    <w:link w:val="DocumentMapChar"/>
    <w:uiPriority w:val="99"/>
    <w:semiHidden/>
    <w:unhideWhenUsed/>
    <w:rsid w:val="005758E8"/>
  </w:style>
  <w:style w:type="character" w:customStyle="1" w:styleId="DocumentMapChar">
    <w:name w:val="Document Map Char"/>
    <w:basedOn w:val="DefaultParagraphFont"/>
    <w:link w:val="DocumentMap"/>
    <w:uiPriority w:val="99"/>
    <w:semiHidden/>
    <w:rsid w:val="005758E8"/>
    <w:rPr>
      <w:rFonts w:ascii="Times New Roman" w:hAnsi="Times New Roman" w:cs="Times New Roman"/>
    </w:rPr>
  </w:style>
  <w:style w:type="paragraph" w:styleId="Footer">
    <w:name w:val="footer"/>
    <w:basedOn w:val="Normal"/>
    <w:link w:val="FooterChar"/>
    <w:uiPriority w:val="99"/>
    <w:unhideWhenUsed/>
    <w:rsid w:val="0058116A"/>
    <w:pPr>
      <w:tabs>
        <w:tab w:val="center" w:pos="4320"/>
        <w:tab w:val="right" w:pos="8640"/>
      </w:tabs>
    </w:pPr>
  </w:style>
  <w:style w:type="character" w:customStyle="1" w:styleId="FooterChar">
    <w:name w:val="Footer Char"/>
    <w:basedOn w:val="DefaultParagraphFont"/>
    <w:link w:val="Footer"/>
    <w:uiPriority w:val="99"/>
    <w:rsid w:val="0058116A"/>
    <w:rPr>
      <w:rFonts w:ascii="Times New Roman" w:hAnsi="Times New Roman" w:cs="Times New Roman"/>
    </w:rPr>
  </w:style>
  <w:style w:type="character" w:styleId="PageNumber">
    <w:name w:val="page number"/>
    <w:basedOn w:val="DefaultParagraphFont"/>
    <w:uiPriority w:val="99"/>
    <w:semiHidden/>
    <w:unhideWhenUsed/>
    <w:rsid w:val="0058116A"/>
  </w:style>
  <w:style w:type="paragraph" w:styleId="Header">
    <w:name w:val="header"/>
    <w:basedOn w:val="Normal"/>
    <w:link w:val="HeaderChar"/>
    <w:uiPriority w:val="99"/>
    <w:unhideWhenUsed/>
    <w:rsid w:val="00070CF4"/>
    <w:pPr>
      <w:tabs>
        <w:tab w:val="center" w:pos="4680"/>
        <w:tab w:val="right" w:pos="9360"/>
      </w:tabs>
    </w:pPr>
  </w:style>
  <w:style w:type="character" w:customStyle="1" w:styleId="HeaderChar">
    <w:name w:val="Header Char"/>
    <w:basedOn w:val="DefaultParagraphFont"/>
    <w:link w:val="Header"/>
    <w:uiPriority w:val="99"/>
    <w:rsid w:val="00070CF4"/>
    <w:rPr>
      <w:rFonts w:ascii="Times New Roman" w:hAnsi="Times New Roman" w:cs="Times New Roman"/>
    </w:rPr>
  </w:style>
  <w:style w:type="paragraph" w:styleId="Revision">
    <w:name w:val="Revision"/>
    <w:hidden/>
    <w:uiPriority w:val="99"/>
    <w:semiHidden/>
    <w:rsid w:val="00795D7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438871">
      <w:bodyDiv w:val="1"/>
      <w:marLeft w:val="0"/>
      <w:marRight w:val="0"/>
      <w:marTop w:val="0"/>
      <w:marBottom w:val="0"/>
      <w:divBdr>
        <w:top w:val="none" w:sz="0" w:space="0" w:color="auto"/>
        <w:left w:val="none" w:sz="0" w:space="0" w:color="auto"/>
        <w:bottom w:val="none" w:sz="0" w:space="0" w:color="auto"/>
        <w:right w:val="none" w:sz="0" w:space="0" w:color="auto"/>
      </w:divBdr>
    </w:div>
    <w:div w:id="871722017">
      <w:bodyDiv w:val="1"/>
      <w:marLeft w:val="0"/>
      <w:marRight w:val="0"/>
      <w:marTop w:val="0"/>
      <w:marBottom w:val="0"/>
      <w:divBdr>
        <w:top w:val="none" w:sz="0" w:space="0" w:color="auto"/>
        <w:left w:val="none" w:sz="0" w:space="0" w:color="auto"/>
        <w:bottom w:val="none" w:sz="0" w:space="0" w:color="auto"/>
        <w:right w:val="none" w:sz="0" w:space="0" w:color="auto"/>
      </w:divBdr>
    </w:div>
    <w:div w:id="18485924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png"/><Relationship Id="rId25" Type="http://schemas.openxmlformats.org/officeDocument/2006/relationships/image" Target="media/image19.emf"/><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9" Type="http://schemas.openxmlformats.org/officeDocument/2006/relationships/image" Target="media/image3.emf"/><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emf"/><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12</Pages>
  <Words>1430</Words>
  <Characters>8152</Characters>
  <Application>Microsoft Macintosh Word</Application>
  <DocSecurity>0</DocSecurity>
  <Lines>67</Lines>
  <Paragraphs>19</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
      <vt:lpstr>R. De Vita</vt:lpstr>
      <vt:lpstr>D. S. Carman, C. Smith, S. Stepanyan, M. Ungaro</vt:lpstr>
      <vt:lpstr>Abstract</vt:lpstr>
      <vt:lpstr>Simulated Detector, Beam and Target Configuration</vt:lpstr>
      <vt:lpstr>Figure 2: Results for DC rates for electron in-bending (left column) and out-ben</vt:lpstr>
      <vt:lpstr/>
      <vt:lpstr/>
      <vt:lpstr/>
      <vt:lpstr/>
      <vt:lpstr/>
      <vt:lpstr/>
      <vt:lpstr/>
      <vt:lpstr/>
      <vt:lpstr/>
      <vt:lpstr/>
      <vt:lpstr>Figure 3: Results for DC rates for the FTOff configurations. Left: the occupanci</vt:lpstr>
      <vt:lpstr/>
      <vt:lpstr/>
      <vt:lpstr/>
      <vt:lpstr/>
      <vt:lpstr/>
      <vt:lpstr/>
      <vt:lpstr/>
      <vt:lpstr/>
      <vt:lpstr/>
      <vt:lpstr/>
      <vt:lpstr/>
      <vt:lpstr/>
      <vt:lpstr/>
      <vt:lpstr/>
      <vt:lpstr/>
      <vt:lpstr/>
      <vt:lpstr/>
      <vt:lpstr/>
      <vt:lpstr/>
      <vt:lpstr/>
      <vt:lpstr/>
      <vt:lpstr/>
      <vt:lpstr/>
      <vt:lpstr/>
      <vt:lpstr>Figure 4: Results for HTCC rates for electrons in-bending (left column) and out-</vt:lpstr>
      <vt:lpstr/>
      <vt:lpstr/>
      <vt:lpstr/>
      <vt:lpstr/>
      <vt:lpstr>Figure 5: Results for HTCC rates for electron in-bending and FTOff configuration</vt:lpstr>
      <vt:lpstr/>
      <vt:lpstr>/</vt:lpstr>
      <vt:lpstr>Figure 6: The four HTCC mirror rings in the simulation. </vt:lpstr>
      <vt:lpstr>Rates for 1 MeV threshold on the energy deposition and PMT currents for FTOF cou</vt:lpstr>
      <vt:lpstr>//</vt:lpstr>
      <vt:lpstr>Figure 7: Results for FTOF rates (top) and PMT currents (bottom) for electrons i</vt:lpstr>
      <vt:lpstr/>
      <vt:lpstr>/</vt:lpstr>
      <vt:lpstr/>
      <vt:lpstr>Figure 8: Results for FTOF rates (top) and PMT currents (bottom) for electrons i</vt:lpstr>
      <vt:lpstr/>
      <vt:lpstr/>
      <vt:lpstr/>
      <vt:lpstr>//</vt:lpstr>
      <vt:lpstr>Figure 9: Results for ECAL sector rates for PCAL (top), ECin (middle) and ECout </vt:lpstr>
      <vt:lpstr/>
      <vt:lpstr>Rates for 1 MeV threshold on the energy deposition for ECAL strips are shown in </vt:lpstr>
      <vt:lpstr/>
      <vt:lpstr>Rates for the FTOff configuration are reduced compared to FTOn on by about 10% a</vt:lpstr>
      <vt:lpstr/>
      <vt:lpstr>/</vt:lpstr>
      <vt:lpstr>Figure 10: Results for ECAL sector rates for PCAL (top), ECin (middle) and ECout</vt:lpstr>
      <vt:lpstr/>
      <vt:lpstr>Rates for CTOF counters do not depend on the beamline configuration or the field</vt:lpstr>
      <vt:lpstr>/</vt:lpstr>
      <vt:lpstr>Figure 11: Rates (left) in kHz and energy deposition per unit of time (right) in</vt:lpstr>
      <vt:lpstr/>
      <vt:lpstr/>
      <vt:lpstr>Rates and radiation doses on the FT detectors</vt:lpstr>
      <vt:lpstr/>
      <vt:lpstr>The estimated rates in kHz and energy deposition per unit of time in MeV/ns for </vt:lpstr>
      <vt:lpstr/>
      <vt:lpstr>Fig. 12 shows the radiation dose in rad/h on the FTCAL for the FTOn and FTOff co</vt:lpstr>
      <vt:lpstr>//</vt:lpstr>
      <vt:lpstr>Figure 12: Radiation dose in rad/h on the FTCAL for the FTOn (left) and FTOff (r</vt:lpstr>
      <vt:lpstr/>
      <vt:lpstr/>
      <vt:lpstr/>
      <vt:lpstr/>
      <vt:lpstr/>
      <vt:lpstr/>
      <vt:lpstr>References</vt:lpstr>
    </vt:vector>
  </TitlesOfParts>
  <Company>INFN</Company>
  <LinksUpToDate>false</LinksUpToDate>
  <CharactersWithSpaces>9563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De Vita</dc:creator>
  <cp:keywords/>
  <dc:description/>
  <cp:lastModifiedBy>Maurizio Ungaro</cp:lastModifiedBy>
  <cp:revision>106</cp:revision>
  <cp:lastPrinted>2016-10-14T05:54:00Z</cp:lastPrinted>
  <dcterms:created xsi:type="dcterms:W3CDTF">2016-10-14T05:54:00Z</dcterms:created>
  <dcterms:modified xsi:type="dcterms:W3CDTF">2017-11-27T03:38:00Z</dcterms:modified>
</cp:coreProperties>
</file>