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BA6CD" w14:textId="74616B25" w:rsidR="001A6287" w:rsidRPr="008D0722" w:rsidRDefault="006804BF" w:rsidP="001D26E1">
      <w:pPr>
        <w:jc w:val="center"/>
        <w:rPr>
          <w:sz w:val="40"/>
        </w:rPr>
      </w:pPr>
      <w:r>
        <w:rPr>
          <w:sz w:val="40"/>
        </w:rPr>
        <w:t>Corrections to CLAS12 vacuum beamline</w:t>
      </w:r>
    </w:p>
    <w:p w14:paraId="0E7AEB54" w14:textId="77777777" w:rsidR="008D0722" w:rsidRDefault="008D0722" w:rsidP="008D0722">
      <w:pPr>
        <w:jc w:val="center"/>
      </w:pPr>
    </w:p>
    <w:p w14:paraId="1CA2BBBA" w14:textId="34ED1EF9" w:rsidR="008418AB" w:rsidRDefault="003F7990" w:rsidP="000C3922">
      <w:pPr>
        <w:jc w:val="center"/>
        <w:outlineLvl w:val="0"/>
      </w:pPr>
      <w:r>
        <w:t>R. De Vita</w:t>
      </w:r>
    </w:p>
    <w:p w14:paraId="24942AF9" w14:textId="223F8310" w:rsidR="008D0722" w:rsidRDefault="008D0722" w:rsidP="008D0722">
      <w:pPr>
        <w:jc w:val="center"/>
        <w:rPr>
          <w:i/>
        </w:rPr>
      </w:pPr>
      <w:proofErr w:type="spellStart"/>
      <w:r w:rsidRPr="008D0722">
        <w:rPr>
          <w:i/>
        </w:rPr>
        <w:t>Istituto</w:t>
      </w:r>
      <w:proofErr w:type="spellEnd"/>
      <w:r w:rsidRPr="008D0722">
        <w:rPr>
          <w:i/>
        </w:rPr>
        <w:t xml:space="preserve"> </w:t>
      </w:r>
      <w:proofErr w:type="spellStart"/>
      <w:r w:rsidRPr="008D0722">
        <w:rPr>
          <w:i/>
        </w:rPr>
        <w:t>Nazionale</w:t>
      </w:r>
      <w:proofErr w:type="spellEnd"/>
      <w:r w:rsidRPr="008D0722">
        <w:rPr>
          <w:i/>
        </w:rPr>
        <w:t xml:space="preserve"> di </w:t>
      </w:r>
      <w:proofErr w:type="spellStart"/>
      <w:r w:rsidRPr="008D0722">
        <w:rPr>
          <w:i/>
        </w:rPr>
        <w:t>Fisica</w:t>
      </w:r>
      <w:proofErr w:type="spellEnd"/>
      <w:r w:rsidRPr="008D0722">
        <w:rPr>
          <w:i/>
        </w:rPr>
        <w:t xml:space="preserve"> </w:t>
      </w:r>
      <w:proofErr w:type="spellStart"/>
      <w:r w:rsidRPr="008D0722">
        <w:rPr>
          <w:i/>
        </w:rPr>
        <w:t>Nucleare</w:t>
      </w:r>
      <w:proofErr w:type="spellEnd"/>
      <w:r w:rsidR="007015CE">
        <w:rPr>
          <w:i/>
        </w:rPr>
        <w:t>,</w:t>
      </w:r>
      <w:r w:rsidR="00D37FF1">
        <w:rPr>
          <w:i/>
        </w:rPr>
        <w:t xml:space="preserve"> </w:t>
      </w:r>
      <w:r w:rsidRPr="008D0722">
        <w:rPr>
          <w:i/>
        </w:rPr>
        <w:t>Genova,</w:t>
      </w:r>
      <w:r w:rsidR="007015CE">
        <w:rPr>
          <w:i/>
        </w:rPr>
        <w:t xml:space="preserve"> </w:t>
      </w:r>
      <w:r w:rsidRPr="008D0722">
        <w:rPr>
          <w:i/>
        </w:rPr>
        <w:t xml:space="preserve">Via </w:t>
      </w:r>
      <w:proofErr w:type="spellStart"/>
      <w:r w:rsidRPr="008D0722">
        <w:rPr>
          <w:i/>
        </w:rPr>
        <w:t>Dodecaneso</w:t>
      </w:r>
      <w:proofErr w:type="spellEnd"/>
      <w:r w:rsidRPr="008D0722">
        <w:rPr>
          <w:i/>
        </w:rPr>
        <w:t xml:space="preserve"> 33, 16146 Italy</w:t>
      </w:r>
    </w:p>
    <w:p w14:paraId="2503BABB" w14:textId="77777777" w:rsidR="006C6C5B" w:rsidRDefault="006C6C5B" w:rsidP="003F7990">
      <w:pPr>
        <w:jc w:val="center"/>
      </w:pPr>
    </w:p>
    <w:p w14:paraId="33E2EEF3" w14:textId="17B07336" w:rsidR="003F7990" w:rsidRDefault="00ED4AFB" w:rsidP="000C3922">
      <w:pPr>
        <w:jc w:val="center"/>
        <w:outlineLvl w:val="0"/>
      </w:pPr>
      <w:r>
        <w:t xml:space="preserve">L. </w:t>
      </w:r>
      <w:proofErr w:type="spellStart"/>
      <w:r w:rsidR="00FE3F96" w:rsidRPr="00FE3F96">
        <w:t>Elouadrhiri</w:t>
      </w:r>
      <w:proofErr w:type="spellEnd"/>
      <w:r w:rsidR="00FE3F96">
        <w:t xml:space="preserve">, </w:t>
      </w:r>
      <w:r w:rsidR="00D65C39">
        <w:t xml:space="preserve">R. Miller, </w:t>
      </w:r>
      <w:r w:rsidR="003F7990">
        <w:t xml:space="preserve">S. </w:t>
      </w:r>
      <w:proofErr w:type="spellStart"/>
      <w:r w:rsidR="003F7990">
        <w:t>Stepanya</w:t>
      </w:r>
      <w:r w:rsidR="00365D04">
        <w:t>n</w:t>
      </w:r>
      <w:proofErr w:type="spellEnd"/>
      <w:r w:rsidR="003F7990">
        <w:t>, M. Ungaro</w:t>
      </w:r>
      <w:r w:rsidR="00D65C39">
        <w:t>, C. W</w:t>
      </w:r>
      <w:bookmarkStart w:id="0" w:name="_GoBack"/>
      <w:r w:rsidR="005360A8">
        <w:t>i</w:t>
      </w:r>
      <w:bookmarkEnd w:id="0"/>
      <w:r w:rsidR="00D65C39">
        <w:t>ggins</w:t>
      </w:r>
      <w:r w:rsidR="00FE3F96">
        <w:t xml:space="preserve">, M. </w:t>
      </w:r>
      <w:proofErr w:type="spellStart"/>
      <w:r w:rsidR="00FE3F96">
        <w:t>Zarecky</w:t>
      </w:r>
      <w:proofErr w:type="spellEnd"/>
    </w:p>
    <w:p w14:paraId="23F5A1B1" w14:textId="77777777" w:rsidR="003F7990" w:rsidRDefault="003F7990" w:rsidP="003F7990">
      <w:pPr>
        <w:jc w:val="center"/>
        <w:rPr>
          <w:i/>
        </w:rPr>
      </w:pPr>
      <w:r w:rsidRPr="008D0722">
        <w:rPr>
          <w:i/>
        </w:rPr>
        <w:t>Jefferson Lab, 12000 Jefferson Avenue, 23606 Newport News, V</w:t>
      </w:r>
      <w:r>
        <w:rPr>
          <w:i/>
        </w:rPr>
        <w:t>A</w:t>
      </w:r>
      <w:r w:rsidRPr="008D0722">
        <w:rPr>
          <w:i/>
        </w:rPr>
        <w:t>, USA</w:t>
      </w:r>
    </w:p>
    <w:p w14:paraId="682A2539" w14:textId="77777777" w:rsidR="003F7990" w:rsidRDefault="003F7990" w:rsidP="008D0722">
      <w:pPr>
        <w:jc w:val="center"/>
        <w:rPr>
          <w:i/>
        </w:rPr>
      </w:pPr>
    </w:p>
    <w:p w14:paraId="4ACE9C60" w14:textId="70B70D92" w:rsidR="00FE3F96" w:rsidRPr="00FE3F96" w:rsidRDefault="00FE3F96" w:rsidP="00FE3F96">
      <w:pPr>
        <w:pStyle w:val="ListParagraph"/>
        <w:numPr>
          <w:ilvl w:val="0"/>
          <w:numId w:val="12"/>
        </w:numPr>
        <w:jc w:val="center"/>
      </w:pPr>
      <w:r>
        <w:t>Kim</w:t>
      </w:r>
    </w:p>
    <w:p w14:paraId="7431E5B6" w14:textId="53B8663C" w:rsidR="00FE3F96" w:rsidRPr="00FE3F96" w:rsidRDefault="00FE3F96" w:rsidP="00FE3F96">
      <w:pPr>
        <w:jc w:val="center"/>
        <w:rPr>
          <w:i/>
        </w:rPr>
      </w:pPr>
      <w:r>
        <w:rPr>
          <w:i/>
        </w:rPr>
        <w:t xml:space="preserve">UCONN University of Connecticut, </w:t>
      </w:r>
      <w:r w:rsidRPr="00FE3F96">
        <w:rPr>
          <w:i/>
        </w:rPr>
        <w:t>2152 Hillside Road,</w:t>
      </w:r>
      <w:r>
        <w:rPr>
          <w:i/>
        </w:rPr>
        <w:t xml:space="preserve"> </w:t>
      </w:r>
      <w:r w:rsidRPr="00FE3F96">
        <w:rPr>
          <w:i/>
        </w:rPr>
        <w:t>Storrs, CT 06269-3046</w:t>
      </w:r>
    </w:p>
    <w:p w14:paraId="073D8FAB" w14:textId="77777777" w:rsidR="00C50004" w:rsidRDefault="00C50004" w:rsidP="008D0722">
      <w:pPr>
        <w:jc w:val="center"/>
        <w:rPr>
          <w:i/>
        </w:rPr>
      </w:pPr>
    </w:p>
    <w:p w14:paraId="01E3C134" w14:textId="1B06688B" w:rsidR="00892345" w:rsidRPr="00B766D2" w:rsidRDefault="00892345" w:rsidP="008D0722">
      <w:pPr>
        <w:jc w:val="center"/>
      </w:pPr>
      <w:r w:rsidRPr="00B766D2">
        <w:t>J. A. Tan</w:t>
      </w:r>
    </w:p>
    <w:p w14:paraId="1977911B" w14:textId="7AD94114" w:rsidR="00892345" w:rsidRDefault="00892345" w:rsidP="00892345">
      <w:pPr>
        <w:jc w:val="center"/>
        <w:rPr>
          <w:i/>
        </w:rPr>
      </w:pPr>
      <w:r w:rsidRPr="00892345">
        <w:rPr>
          <w:i/>
        </w:rPr>
        <w:t xml:space="preserve">KNU </w:t>
      </w:r>
      <w:proofErr w:type="spellStart"/>
      <w:r w:rsidRPr="00892345">
        <w:rPr>
          <w:i/>
        </w:rPr>
        <w:t>Kyungpook</w:t>
      </w:r>
      <w:proofErr w:type="spellEnd"/>
      <w:r w:rsidRPr="00892345">
        <w:rPr>
          <w:i/>
        </w:rPr>
        <w:t xml:space="preserve"> National University</w:t>
      </w:r>
      <w:r>
        <w:rPr>
          <w:i/>
        </w:rPr>
        <w:t xml:space="preserve">, </w:t>
      </w:r>
      <w:r w:rsidRPr="00892345">
        <w:rPr>
          <w:i/>
        </w:rPr>
        <w:t xml:space="preserve">80 </w:t>
      </w:r>
      <w:proofErr w:type="spellStart"/>
      <w:r w:rsidRPr="00892345">
        <w:rPr>
          <w:i/>
        </w:rPr>
        <w:t>Daehakro</w:t>
      </w:r>
      <w:proofErr w:type="spellEnd"/>
      <w:r w:rsidRPr="00892345">
        <w:rPr>
          <w:i/>
        </w:rPr>
        <w:t>, Daegu 41566 Korea</w:t>
      </w:r>
    </w:p>
    <w:p w14:paraId="24DC1A97" w14:textId="77777777" w:rsidR="001D26E1" w:rsidRDefault="001D26E1" w:rsidP="008D0722">
      <w:pPr>
        <w:jc w:val="center"/>
        <w:rPr>
          <w:i/>
        </w:rPr>
      </w:pPr>
    </w:p>
    <w:p w14:paraId="0BDAE94A" w14:textId="77777777" w:rsidR="00515888" w:rsidRPr="008D0722" w:rsidRDefault="00515888" w:rsidP="008D0722">
      <w:pPr>
        <w:jc w:val="center"/>
        <w:rPr>
          <w:i/>
        </w:rPr>
      </w:pPr>
    </w:p>
    <w:p w14:paraId="5FBD4B04" w14:textId="77777777" w:rsidR="008418AB" w:rsidRDefault="008418AB" w:rsidP="000C3922">
      <w:pPr>
        <w:jc w:val="center"/>
        <w:outlineLvl w:val="0"/>
        <w:rPr>
          <w:b/>
          <w:sz w:val="28"/>
        </w:rPr>
      </w:pPr>
      <w:r w:rsidRPr="008D0722">
        <w:rPr>
          <w:b/>
          <w:sz w:val="28"/>
        </w:rPr>
        <w:t>Abstract</w:t>
      </w:r>
    </w:p>
    <w:p w14:paraId="21F1BACD" w14:textId="77777777" w:rsidR="00CF50F6" w:rsidRPr="008D0722" w:rsidRDefault="00CF50F6" w:rsidP="000C3922">
      <w:pPr>
        <w:jc w:val="center"/>
        <w:outlineLvl w:val="0"/>
        <w:rPr>
          <w:b/>
          <w:sz w:val="28"/>
        </w:rPr>
      </w:pPr>
    </w:p>
    <w:p w14:paraId="7BF3C59F" w14:textId="1DA02037" w:rsidR="008418AB" w:rsidRDefault="008418AB" w:rsidP="00324C0C">
      <w:pPr>
        <w:jc w:val="both"/>
      </w:pPr>
      <w:r w:rsidRPr="008418AB">
        <w:t xml:space="preserve">Simulations of beam-related background were performed </w:t>
      </w:r>
      <w:r w:rsidR="00F04DD4">
        <w:t xml:space="preserve">for </w:t>
      </w:r>
      <w:r w:rsidR="006804BF">
        <w:t xml:space="preserve">the designed CLAS12 </w:t>
      </w:r>
      <w:r w:rsidR="003C6F2D">
        <w:t xml:space="preserve">vacuum </w:t>
      </w:r>
      <w:r w:rsidR="006804BF">
        <w:t>beamline</w:t>
      </w:r>
      <w:r w:rsidR="000C3922">
        <w:t>. It was found that the</w:t>
      </w:r>
      <w:r w:rsidR="00B77909">
        <w:t xml:space="preserve"> </w:t>
      </w:r>
      <w:r w:rsidR="00FD1C1D">
        <w:t>design</w:t>
      </w:r>
      <w:r w:rsidR="00B77909">
        <w:t>ed</w:t>
      </w:r>
      <w:r w:rsidR="00FD1C1D">
        <w:t xml:space="preserve"> </w:t>
      </w:r>
      <w:r w:rsidR="000C3922">
        <w:t xml:space="preserve">beamline inner radius was too small and </w:t>
      </w:r>
      <w:r w:rsidR="00FD1C1D">
        <w:t>produced large</w:t>
      </w:r>
      <w:r w:rsidR="000C3922">
        <w:t xml:space="preserve"> background</w:t>
      </w:r>
      <w:r w:rsidR="00FD1C1D">
        <w:t xml:space="preserve"> in the drift chambers region 3</w:t>
      </w:r>
      <w:r w:rsidR="000C3922">
        <w:t xml:space="preserve">. </w:t>
      </w:r>
      <w:r w:rsidR="00FD1C1D">
        <w:t>A n</w:t>
      </w:r>
      <w:r w:rsidR="000C3922">
        <w:t xml:space="preserve">ew </w:t>
      </w:r>
      <w:r w:rsidR="00FD1C1D">
        <w:t>design</w:t>
      </w:r>
      <w:r w:rsidR="000C3922">
        <w:t xml:space="preserve"> </w:t>
      </w:r>
      <w:r w:rsidR="00FD1C1D">
        <w:t>resulted in acceptable background rates.</w:t>
      </w:r>
    </w:p>
    <w:p w14:paraId="4020BC9C" w14:textId="77777777" w:rsidR="00515888" w:rsidRDefault="00515888" w:rsidP="00324C0C">
      <w:pPr>
        <w:jc w:val="both"/>
      </w:pPr>
    </w:p>
    <w:p w14:paraId="6FF42360" w14:textId="77777777" w:rsidR="00C50004" w:rsidRDefault="00C50004"/>
    <w:p w14:paraId="03FE1822" w14:textId="4813E4A0" w:rsidR="00C50004" w:rsidRPr="00637073" w:rsidRDefault="009B4BFD" w:rsidP="00637073">
      <w:pPr>
        <w:outlineLvl w:val="0"/>
        <w:rPr>
          <w:b/>
          <w:sz w:val="28"/>
        </w:rPr>
      </w:pPr>
      <w:r w:rsidRPr="00637073">
        <w:rPr>
          <w:b/>
          <w:sz w:val="28"/>
        </w:rPr>
        <w:t>Simulated Detector, Beam and Target C</w:t>
      </w:r>
      <w:r w:rsidR="004A1F89" w:rsidRPr="00637073">
        <w:rPr>
          <w:b/>
          <w:sz w:val="28"/>
        </w:rPr>
        <w:t>onfiguration</w:t>
      </w:r>
    </w:p>
    <w:p w14:paraId="024FB495" w14:textId="77777777" w:rsidR="00324BAD" w:rsidRDefault="00324BAD" w:rsidP="004D314A">
      <w:pPr>
        <w:jc w:val="both"/>
      </w:pPr>
    </w:p>
    <w:p w14:paraId="45F08660" w14:textId="295235CF" w:rsidR="00C50004" w:rsidRDefault="00ED1213" w:rsidP="004D314A">
      <w:pPr>
        <w:jc w:val="both"/>
      </w:pPr>
      <w:r>
        <w:t>Th</w:t>
      </w:r>
      <w:r w:rsidR="007F20E6">
        <w:t xml:space="preserve">e </w:t>
      </w:r>
      <w:r w:rsidR="00A619C9">
        <w:t xml:space="preserve">first </w:t>
      </w:r>
      <w:r w:rsidR="004A1F89">
        <w:t xml:space="preserve">simulation study </w:t>
      </w:r>
      <w:r w:rsidR="00154C7C">
        <w:t>was</w:t>
      </w:r>
      <w:r>
        <w:t xml:space="preserve"> </w:t>
      </w:r>
      <w:r w:rsidR="00A619C9">
        <w:t xml:space="preserve">performed in July 2017, </w:t>
      </w:r>
      <w:r>
        <w:t>based on the CLAS12 standard configuration</w:t>
      </w:r>
      <w:r w:rsidR="0050210B">
        <w:t>. The target consisted</w:t>
      </w:r>
      <w:r w:rsidR="004A1F89">
        <w:t xml:space="preserve"> of </w:t>
      </w:r>
      <w:r w:rsidR="003E75B2">
        <w:t>5</w:t>
      </w:r>
      <w:r w:rsidR="009250ED">
        <w:t xml:space="preserve"> </w:t>
      </w:r>
      <w:r w:rsidR="00D75A71">
        <w:t>cm long liquid-</w:t>
      </w:r>
      <w:r w:rsidR="003E75B2">
        <w:t xml:space="preserve">hydrogen </w:t>
      </w:r>
      <w:r w:rsidR="00FD5B79">
        <w:t>target (that includes its containment vessels and scattering chambers)</w:t>
      </w:r>
      <w:r w:rsidR="004A1F89">
        <w:t xml:space="preserve">. The </w:t>
      </w:r>
      <w:r w:rsidR="009C123F">
        <w:t>Moller cone geometry corresponded</w:t>
      </w:r>
      <w:r w:rsidR="004A1F89">
        <w:t xml:space="preserve"> to the final engineering design </w:t>
      </w:r>
      <w:r w:rsidR="00E23E57">
        <w:t>[1].</w:t>
      </w:r>
      <w:r w:rsidR="00AA5BBB">
        <w:t xml:space="preserve"> </w:t>
      </w:r>
      <w:r w:rsidR="00612025">
        <w:t xml:space="preserve">The shielding geometry </w:t>
      </w:r>
      <w:r w:rsidR="00E23B87">
        <w:t xml:space="preserve">were incorporated in </w:t>
      </w:r>
      <w:r w:rsidR="00045CFE">
        <w:t>G</w:t>
      </w:r>
      <w:r w:rsidR="00E23B87">
        <w:t xml:space="preserve">eant4 directly from the engineering CAD models. </w:t>
      </w:r>
      <w:r w:rsidR="00AA5BBB">
        <w:t xml:space="preserve">The </w:t>
      </w:r>
      <w:r w:rsidR="00A71BFE">
        <w:t xml:space="preserve">geometry contained the </w:t>
      </w:r>
      <w:r w:rsidR="00AA5BBB">
        <w:t>full CLA</w:t>
      </w:r>
      <w:r w:rsidR="00A71BFE">
        <w:t>S12 detector</w:t>
      </w:r>
      <w:r w:rsidR="00E23B87">
        <w:t>s</w:t>
      </w:r>
      <w:r w:rsidR="00A71BFE">
        <w:t>, including t</w:t>
      </w:r>
      <w:r w:rsidR="00E23E57">
        <w:t xml:space="preserve">he solenoid </w:t>
      </w:r>
      <w:r w:rsidR="00A71BFE">
        <w:t xml:space="preserve">and torus </w:t>
      </w:r>
      <w:r w:rsidR="00045CFE">
        <w:t>magnets</w:t>
      </w:r>
      <w:r w:rsidR="00A71BFE">
        <w:t>.</w:t>
      </w:r>
      <w:r w:rsidR="00045CFE">
        <w:t xml:space="preserve"> Simulations were performed for nominal (full) magnetic fields.</w:t>
      </w:r>
    </w:p>
    <w:p w14:paraId="495423B2" w14:textId="16C718D0" w:rsidR="00612025" w:rsidRDefault="00E23E57" w:rsidP="004D314A">
      <w:pPr>
        <w:jc w:val="both"/>
      </w:pPr>
      <w:r>
        <w:t xml:space="preserve">For each event, </w:t>
      </w:r>
      <w:r w:rsidR="00F77409">
        <w:t>132,000</w:t>
      </w:r>
      <w:r>
        <w:t xml:space="preserve"> electron</w:t>
      </w:r>
      <w:r w:rsidR="00F349D0">
        <w:t>s</w:t>
      </w:r>
      <w:r>
        <w:t xml:space="preserve"> going through the target within a </w:t>
      </w:r>
      <w:proofErr w:type="gramStart"/>
      <w:r>
        <w:t>250 ns</w:t>
      </w:r>
      <w:proofErr w:type="gramEnd"/>
      <w:r>
        <w:t xml:space="preserve"> time window were simulated. This cor</w:t>
      </w:r>
      <w:r w:rsidR="00F77409">
        <w:t xml:space="preserve">responds to </w:t>
      </w:r>
      <w:r w:rsidR="00CD3F1C">
        <w:t xml:space="preserve">the full CLAS12 </w:t>
      </w:r>
      <w:r>
        <w:t>10</w:t>
      </w:r>
      <w:r w:rsidRPr="00E23E57">
        <w:rPr>
          <w:vertAlign w:val="superscript"/>
        </w:rPr>
        <w:t>3</w:t>
      </w:r>
      <w:r w:rsidR="00F77409">
        <w:rPr>
          <w:vertAlign w:val="superscript"/>
        </w:rPr>
        <w:t>5</w:t>
      </w:r>
      <w:r>
        <w:t xml:space="preserve"> cm</w:t>
      </w:r>
      <w:r w:rsidRPr="00E23E57">
        <w:rPr>
          <w:vertAlign w:val="superscript"/>
        </w:rPr>
        <w:t>-2</w:t>
      </w:r>
      <w:r>
        <w:t>s</w:t>
      </w:r>
      <w:r w:rsidRPr="00E23E57">
        <w:rPr>
          <w:vertAlign w:val="superscript"/>
        </w:rPr>
        <w:t>-1</w:t>
      </w:r>
      <w:r w:rsidR="00D26AB5">
        <w:t xml:space="preserve"> luminosity</w:t>
      </w:r>
      <w:r>
        <w:t xml:space="preserve">. </w:t>
      </w:r>
      <w:r w:rsidR="0050451E">
        <w:t xml:space="preserve"> </w:t>
      </w:r>
    </w:p>
    <w:p w14:paraId="4132C471" w14:textId="33F34DC4" w:rsidR="00A619C9" w:rsidRDefault="003E3674" w:rsidP="004D314A">
      <w:pPr>
        <w:jc w:val="both"/>
      </w:pPr>
      <w:r>
        <w:t>More</w:t>
      </w:r>
      <w:r w:rsidR="00A619C9">
        <w:t xml:space="preserve"> simulations where performed in August, September and October 2017 as a new design of the vacuum line was being finalized.</w:t>
      </w:r>
    </w:p>
    <w:p w14:paraId="4FF62965" w14:textId="77777777" w:rsidR="00CB7CFA" w:rsidRDefault="00CB7CFA" w:rsidP="004D314A">
      <w:pPr>
        <w:jc w:val="both"/>
      </w:pPr>
    </w:p>
    <w:p w14:paraId="3BEA3290" w14:textId="2A7D148A" w:rsidR="00612025" w:rsidRPr="00637073" w:rsidRDefault="00A619C9" w:rsidP="00637073">
      <w:pPr>
        <w:jc w:val="both"/>
        <w:rPr>
          <w:b/>
          <w:sz w:val="28"/>
        </w:rPr>
      </w:pPr>
      <w:r>
        <w:rPr>
          <w:b/>
          <w:sz w:val="28"/>
        </w:rPr>
        <w:t>Original v</w:t>
      </w:r>
      <w:r w:rsidR="00637073" w:rsidRPr="00637073">
        <w:rPr>
          <w:b/>
          <w:sz w:val="28"/>
        </w:rPr>
        <w:t xml:space="preserve">acuum </w:t>
      </w:r>
      <w:r>
        <w:rPr>
          <w:b/>
          <w:sz w:val="28"/>
        </w:rPr>
        <w:t>b</w:t>
      </w:r>
      <w:r w:rsidR="00637073" w:rsidRPr="00637073">
        <w:rPr>
          <w:b/>
          <w:sz w:val="28"/>
        </w:rPr>
        <w:t>eamline</w:t>
      </w:r>
      <w:r w:rsidR="00637073">
        <w:rPr>
          <w:b/>
          <w:sz w:val="28"/>
        </w:rPr>
        <w:t xml:space="preserve"> configuration and results.</w:t>
      </w:r>
    </w:p>
    <w:p w14:paraId="68BE5B42" w14:textId="77777777" w:rsidR="00E23B87" w:rsidRDefault="00E23B87" w:rsidP="004D314A">
      <w:pPr>
        <w:jc w:val="both"/>
      </w:pPr>
    </w:p>
    <w:p w14:paraId="21ACDB32" w14:textId="1B89BF76" w:rsidR="008B41B9" w:rsidRDefault="00637073" w:rsidP="004D314A">
      <w:pPr>
        <w:jc w:val="both"/>
      </w:pPr>
      <w:r>
        <w:t xml:space="preserve">The </w:t>
      </w:r>
      <w:r w:rsidR="00E6182D">
        <w:t>vacuum line</w:t>
      </w:r>
      <w:r>
        <w:t xml:space="preserve"> </w:t>
      </w:r>
      <w:r w:rsidR="00C03BC3">
        <w:t>radii and thicknesses</w:t>
      </w:r>
      <w:r>
        <w:t xml:space="preserve"> </w:t>
      </w:r>
      <w:r w:rsidR="00C03BC3">
        <w:t>for various configurations are shown</w:t>
      </w:r>
      <w:r w:rsidR="008B41B9">
        <w:t xml:space="preserve"> in Table 1. The “</w:t>
      </w:r>
      <w:r w:rsidR="0084294B">
        <w:t>ideal</w:t>
      </w:r>
      <w:r w:rsidR="008B41B9">
        <w:t>” row refer</w:t>
      </w:r>
      <w:r w:rsidR="00045CFE">
        <w:t>s</w:t>
      </w:r>
      <w:r w:rsidR="008B41B9">
        <w:t xml:space="preserve"> to the physicist </w:t>
      </w:r>
      <w:r w:rsidR="0084294B">
        <w:t>original</w:t>
      </w:r>
      <w:r w:rsidR="008B41B9">
        <w:t xml:space="preserve"> design. The “</w:t>
      </w:r>
      <w:r w:rsidR="005A21FC">
        <w:t>CAD</w:t>
      </w:r>
      <w:r w:rsidR="008B41B9">
        <w:t>” row refers to the de</w:t>
      </w:r>
      <w:r w:rsidR="00B20A51">
        <w:t xml:space="preserve">sign included in </w:t>
      </w:r>
      <w:r w:rsidR="002B3193">
        <w:t>the</w:t>
      </w:r>
      <w:r w:rsidR="00E42852">
        <w:t xml:space="preserve"> </w:t>
      </w:r>
      <w:r w:rsidR="004F7087">
        <w:t xml:space="preserve">first </w:t>
      </w:r>
      <w:r w:rsidR="00045CFE">
        <w:t xml:space="preserve">simulation </w:t>
      </w:r>
      <w:r w:rsidR="004F7087">
        <w:t xml:space="preserve">study </w:t>
      </w:r>
      <w:r w:rsidR="00045CFE">
        <w:t>that</w:t>
      </w:r>
      <w:r w:rsidR="00E42852">
        <w:t xml:space="preserve"> </w:t>
      </w:r>
      <w:r w:rsidR="00045CFE">
        <w:t xml:space="preserve">used </w:t>
      </w:r>
      <w:r w:rsidR="00E42852">
        <w:t xml:space="preserve">beamline from CAD models, </w:t>
      </w:r>
      <w:r w:rsidR="008B41B9">
        <w:t>based on various communications with physicists and designer</w:t>
      </w:r>
      <w:r w:rsidR="00B20A51">
        <w:t>s</w:t>
      </w:r>
      <w:r w:rsidR="008B41B9">
        <w:t xml:space="preserve">. The “actual” row refers to measurements of the </w:t>
      </w:r>
      <w:r w:rsidR="00337BEB">
        <w:t xml:space="preserve">built </w:t>
      </w:r>
      <w:r w:rsidR="0036661F">
        <w:t>vacuum line</w:t>
      </w:r>
      <w:r w:rsidR="008B41B9">
        <w:t>.</w:t>
      </w:r>
    </w:p>
    <w:p w14:paraId="3B719A27" w14:textId="77777777" w:rsidR="00515888" w:rsidRDefault="00515888" w:rsidP="004D314A">
      <w:pPr>
        <w:jc w:val="both"/>
      </w:pPr>
    </w:p>
    <w:p w14:paraId="6A8D48D0" w14:textId="77777777" w:rsidR="00515888" w:rsidRDefault="00515888" w:rsidP="00515888">
      <w:r>
        <w:t>The thicknesses and inner radius were designed using safety clearances to the torus hardware based on the CLAS12 beamline and vacuum lines installation plan.  Furthermore, the lines were thicker than the ideal configuration. These two factors resulted in a much smaller inner radius than the ideal situation.</w:t>
      </w:r>
    </w:p>
    <w:p w14:paraId="229F3792" w14:textId="77777777" w:rsidR="00515888" w:rsidRDefault="00515888" w:rsidP="004D314A">
      <w:pPr>
        <w:jc w:val="both"/>
      </w:pPr>
    </w:p>
    <w:p w14:paraId="47C51DDC" w14:textId="39E10632" w:rsidR="008B41B9" w:rsidRDefault="008B41B9" w:rsidP="004D314A">
      <w:pPr>
        <w:jc w:val="both"/>
      </w:pPr>
    </w:p>
    <w:tbl>
      <w:tblPr>
        <w:tblStyle w:val="TableGrid"/>
        <w:tblW w:w="0" w:type="auto"/>
        <w:jc w:val="center"/>
        <w:tblLook w:val="04A0" w:firstRow="1" w:lastRow="0" w:firstColumn="1" w:lastColumn="0" w:noHBand="0" w:noVBand="1"/>
      </w:tblPr>
      <w:tblGrid>
        <w:gridCol w:w="1718"/>
        <w:gridCol w:w="1268"/>
        <w:gridCol w:w="994"/>
        <w:gridCol w:w="1267"/>
        <w:gridCol w:w="993"/>
        <w:gridCol w:w="1283"/>
        <w:gridCol w:w="993"/>
      </w:tblGrid>
      <w:tr w:rsidR="008B41B9" w14:paraId="1939974D" w14:textId="77777777" w:rsidTr="008B41B9">
        <w:trPr>
          <w:jc w:val="center"/>
        </w:trPr>
        <w:tc>
          <w:tcPr>
            <w:tcW w:w="1718" w:type="dxa"/>
          </w:tcPr>
          <w:p w14:paraId="72EED48D" w14:textId="1E21FCD8" w:rsidR="008B41B9" w:rsidRDefault="008B41B9" w:rsidP="008B41B9">
            <w:pPr>
              <w:jc w:val="center"/>
            </w:pPr>
          </w:p>
        </w:tc>
        <w:tc>
          <w:tcPr>
            <w:tcW w:w="2262" w:type="dxa"/>
            <w:gridSpan w:val="2"/>
          </w:tcPr>
          <w:p w14:paraId="5CFEA69C" w14:textId="3B2AC5B0" w:rsidR="008B41B9" w:rsidRDefault="008B41B9" w:rsidP="008B41B9">
            <w:pPr>
              <w:jc w:val="center"/>
            </w:pPr>
            <w:r>
              <w:t>Upstream of Torus</w:t>
            </w:r>
          </w:p>
        </w:tc>
        <w:tc>
          <w:tcPr>
            <w:tcW w:w="2260" w:type="dxa"/>
            <w:gridSpan w:val="2"/>
          </w:tcPr>
          <w:p w14:paraId="36CE367A" w14:textId="62DC8BF2" w:rsidR="008B41B9" w:rsidRDefault="008B41B9" w:rsidP="008B41B9">
            <w:pPr>
              <w:jc w:val="center"/>
            </w:pPr>
            <w:r>
              <w:t>Inside Torus</w:t>
            </w:r>
          </w:p>
        </w:tc>
        <w:tc>
          <w:tcPr>
            <w:tcW w:w="2276" w:type="dxa"/>
            <w:gridSpan w:val="2"/>
          </w:tcPr>
          <w:p w14:paraId="2448D5AA" w14:textId="55FC3F44" w:rsidR="008B41B9" w:rsidRDefault="008B41B9" w:rsidP="008B41B9">
            <w:pPr>
              <w:jc w:val="center"/>
            </w:pPr>
            <w:r>
              <w:t>Downstream of Torus</w:t>
            </w:r>
          </w:p>
        </w:tc>
      </w:tr>
      <w:tr w:rsidR="008B41B9" w:rsidRPr="008B41B9" w14:paraId="620215A7" w14:textId="77777777" w:rsidTr="008B41B9">
        <w:trPr>
          <w:jc w:val="center"/>
        </w:trPr>
        <w:tc>
          <w:tcPr>
            <w:tcW w:w="1718" w:type="dxa"/>
          </w:tcPr>
          <w:p w14:paraId="43633911" w14:textId="77777777" w:rsidR="008B41B9" w:rsidRPr="008B41B9" w:rsidRDefault="008B41B9" w:rsidP="008B41B9">
            <w:pPr>
              <w:jc w:val="center"/>
              <w:rPr>
                <w:sz w:val="21"/>
              </w:rPr>
            </w:pPr>
          </w:p>
        </w:tc>
        <w:tc>
          <w:tcPr>
            <w:tcW w:w="1268" w:type="dxa"/>
          </w:tcPr>
          <w:p w14:paraId="71648E8A" w14:textId="4F5D250D" w:rsidR="008B41B9" w:rsidRPr="008B41B9" w:rsidRDefault="008B41B9" w:rsidP="008B41B9">
            <w:pPr>
              <w:jc w:val="center"/>
              <w:rPr>
                <w:sz w:val="21"/>
              </w:rPr>
            </w:pPr>
            <w:r w:rsidRPr="008B41B9">
              <w:rPr>
                <w:sz w:val="21"/>
              </w:rPr>
              <w:t>Thickness</w:t>
            </w:r>
          </w:p>
        </w:tc>
        <w:tc>
          <w:tcPr>
            <w:tcW w:w="994" w:type="dxa"/>
          </w:tcPr>
          <w:p w14:paraId="39BD332D" w14:textId="389FF8DE" w:rsidR="008B41B9" w:rsidRPr="008B41B9" w:rsidRDefault="008B41B9" w:rsidP="008B41B9">
            <w:pPr>
              <w:jc w:val="center"/>
              <w:rPr>
                <w:sz w:val="21"/>
              </w:rPr>
            </w:pPr>
            <w:r w:rsidRPr="008B41B9">
              <w:rPr>
                <w:sz w:val="21"/>
              </w:rPr>
              <w:t>IR</w:t>
            </w:r>
          </w:p>
        </w:tc>
        <w:tc>
          <w:tcPr>
            <w:tcW w:w="1267" w:type="dxa"/>
          </w:tcPr>
          <w:p w14:paraId="2A6126AE" w14:textId="6C1B34FD" w:rsidR="008B41B9" w:rsidRPr="008B41B9" w:rsidRDefault="008B41B9" w:rsidP="008B41B9">
            <w:pPr>
              <w:jc w:val="center"/>
              <w:rPr>
                <w:sz w:val="21"/>
              </w:rPr>
            </w:pPr>
            <w:r w:rsidRPr="008B41B9">
              <w:rPr>
                <w:sz w:val="21"/>
              </w:rPr>
              <w:t>Thickness</w:t>
            </w:r>
          </w:p>
        </w:tc>
        <w:tc>
          <w:tcPr>
            <w:tcW w:w="993" w:type="dxa"/>
          </w:tcPr>
          <w:p w14:paraId="6C15B92D" w14:textId="6ACCADAB" w:rsidR="008B41B9" w:rsidRPr="008B41B9" w:rsidRDefault="008B41B9" w:rsidP="008B41B9">
            <w:pPr>
              <w:jc w:val="center"/>
              <w:rPr>
                <w:sz w:val="21"/>
              </w:rPr>
            </w:pPr>
            <w:r w:rsidRPr="008B41B9">
              <w:rPr>
                <w:sz w:val="21"/>
              </w:rPr>
              <w:t>IR</w:t>
            </w:r>
          </w:p>
        </w:tc>
        <w:tc>
          <w:tcPr>
            <w:tcW w:w="1283" w:type="dxa"/>
          </w:tcPr>
          <w:p w14:paraId="186DD6A1" w14:textId="492F585B" w:rsidR="008B41B9" w:rsidRPr="008B41B9" w:rsidRDefault="008B41B9" w:rsidP="008B41B9">
            <w:pPr>
              <w:jc w:val="center"/>
              <w:rPr>
                <w:sz w:val="21"/>
              </w:rPr>
            </w:pPr>
            <w:r w:rsidRPr="008B41B9">
              <w:rPr>
                <w:sz w:val="21"/>
              </w:rPr>
              <w:t>Thickness</w:t>
            </w:r>
          </w:p>
        </w:tc>
        <w:tc>
          <w:tcPr>
            <w:tcW w:w="993" w:type="dxa"/>
          </w:tcPr>
          <w:p w14:paraId="48CFABE4" w14:textId="385D6FCE" w:rsidR="008B41B9" w:rsidRPr="008B41B9" w:rsidRDefault="008B41B9" w:rsidP="008B41B9">
            <w:pPr>
              <w:jc w:val="center"/>
              <w:rPr>
                <w:sz w:val="21"/>
              </w:rPr>
            </w:pPr>
            <w:r w:rsidRPr="008B41B9">
              <w:rPr>
                <w:sz w:val="21"/>
              </w:rPr>
              <w:t>IR</w:t>
            </w:r>
          </w:p>
        </w:tc>
      </w:tr>
      <w:tr w:rsidR="008B41B9" w14:paraId="137FE673" w14:textId="77777777" w:rsidTr="008B41B9">
        <w:trPr>
          <w:jc w:val="center"/>
        </w:trPr>
        <w:tc>
          <w:tcPr>
            <w:tcW w:w="1718" w:type="dxa"/>
          </w:tcPr>
          <w:p w14:paraId="0FD38A9F" w14:textId="21DB7BCC" w:rsidR="008B41B9" w:rsidRPr="00CB7CFA" w:rsidRDefault="001860F1" w:rsidP="004D314A">
            <w:pPr>
              <w:jc w:val="both"/>
              <w:rPr>
                <w:i/>
              </w:rPr>
            </w:pPr>
            <w:r>
              <w:rPr>
                <w:i/>
              </w:rPr>
              <w:t>Ideal</w:t>
            </w:r>
          </w:p>
        </w:tc>
        <w:tc>
          <w:tcPr>
            <w:tcW w:w="1268" w:type="dxa"/>
          </w:tcPr>
          <w:p w14:paraId="4179A4E4" w14:textId="47BD4F8E" w:rsidR="008B41B9" w:rsidRDefault="008B41B9" w:rsidP="004D314A">
            <w:pPr>
              <w:jc w:val="both"/>
            </w:pPr>
            <w:r>
              <w:t>3.12</w:t>
            </w:r>
          </w:p>
        </w:tc>
        <w:tc>
          <w:tcPr>
            <w:tcW w:w="994" w:type="dxa"/>
          </w:tcPr>
          <w:p w14:paraId="72B7A255" w14:textId="44A1E595" w:rsidR="008B41B9" w:rsidRDefault="008B41B9" w:rsidP="004D314A">
            <w:pPr>
              <w:jc w:val="both"/>
            </w:pPr>
            <w:r>
              <w:t>22.68</w:t>
            </w:r>
          </w:p>
        </w:tc>
        <w:tc>
          <w:tcPr>
            <w:tcW w:w="1267" w:type="dxa"/>
          </w:tcPr>
          <w:p w14:paraId="09DB791D" w14:textId="01ACBC0D" w:rsidR="008B41B9" w:rsidRDefault="008B41B9" w:rsidP="004D314A">
            <w:pPr>
              <w:jc w:val="both"/>
            </w:pPr>
            <w:r>
              <w:t>3.12</w:t>
            </w:r>
          </w:p>
        </w:tc>
        <w:tc>
          <w:tcPr>
            <w:tcW w:w="993" w:type="dxa"/>
          </w:tcPr>
          <w:p w14:paraId="43C2061B" w14:textId="5AB6F1AC" w:rsidR="008B41B9" w:rsidRDefault="008B41B9" w:rsidP="004D314A">
            <w:pPr>
              <w:jc w:val="both"/>
            </w:pPr>
            <w:r>
              <w:t>36.69</w:t>
            </w:r>
          </w:p>
        </w:tc>
        <w:tc>
          <w:tcPr>
            <w:tcW w:w="1283" w:type="dxa"/>
          </w:tcPr>
          <w:p w14:paraId="057118F9" w14:textId="3762411C" w:rsidR="008B41B9" w:rsidRDefault="008B41B9" w:rsidP="004D314A">
            <w:pPr>
              <w:jc w:val="both"/>
            </w:pPr>
            <w:r>
              <w:t>6</w:t>
            </w:r>
          </w:p>
        </w:tc>
        <w:tc>
          <w:tcPr>
            <w:tcW w:w="993" w:type="dxa"/>
          </w:tcPr>
          <w:p w14:paraId="5ED7AFCB" w14:textId="4F688FAF" w:rsidR="008B41B9" w:rsidRDefault="008B41B9" w:rsidP="004D314A">
            <w:pPr>
              <w:jc w:val="both"/>
            </w:pPr>
            <w:r>
              <w:t>126</w:t>
            </w:r>
          </w:p>
        </w:tc>
      </w:tr>
      <w:tr w:rsidR="008B41B9" w14:paraId="712E6EC1" w14:textId="77777777" w:rsidTr="008B41B9">
        <w:trPr>
          <w:jc w:val="center"/>
        </w:trPr>
        <w:tc>
          <w:tcPr>
            <w:tcW w:w="1718" w:type="dxa"/>
          </w:tcPr>
          <w:p w14:paraId="6922617F" w14:textId="70C4E5FF" w:rsidR="008B41B9" w:rsidRPr="00CB7CFA" w:rsidRDefault="00682502" w:rsidP="004D314A">
            <w:pPr>
              <w:jc w:val="both"/>
              <w:rPr>
                <w:i/>
              </w:rPr>
            </w:pPr>
            <w:r>
              <w:rPr>
                <w:i/>
              </w:rPr>
              <w:t>CAD</w:t>
            </w:r>
          </w:p>
        </w:tc>
        <w:tc>
          <w:tcPr>
            <w:tcW w:w="1268" w:type="dxa"/>
          </w:tcPr>
          <w:p w14:paraId="0505A0FB" w14:textId="026597E0" w:rsidR="008B41B9" w:rsidRDefault="008B41B9" w:rsidP="004D314A">
            <w:pPr>
              <w:jc w:val="both"/>
            </w:pPr>
            <w:r>
              <w:t>3.12</w:t>
            </w:r>
          </w:p>
        </w:tc>
        <w:tc>
          <w:tcPr>
            <w:tcW w:w="994" w:type="dxa"/>
          </w:tcPr>
          <w:p w14:paraId="43FD7395" w14:textId="0E800D46" w:rsidR="008B41B9" w:rsidRDefault="008B41B9" w:rsidP="004D314A">
            <w:pPr>
              <w:jc w:val="both"/>
            </w:pPr>
            <w:r>
              <w:t>22.68</w:t>
            </w:r>
          </w:p>
        </w:tc>
        <w:tc>
          <w:tcPr>
            <w:tcW w:w="1267" w:type="dxa"/>
          </w:tcPr>
          <w:p w14:paraId="6D47F005" w14:textId="6189DFF1" w:rsidR="008B41B9" w:rsidRDefault="008B41B9" w:rsidP="004D314A">
            <w:pPr>
              <w:jc w:val="both"/>
            </w:pPr>
            <w:r>
              <w:t>3.12</w:t>
            </w:r>
          </w:p>
        </w:tc>
        <w:tc>
          <w:tcPr>
            <w:tcW w:w="993" w:type="dxa"/>
          </w:tcPr>
          <w:p w14:paraId="7BCFE84C" w14:textId="01610329" w:rsidR="008B41B9" w:rsidRDefault="008B41B9" w:rsidP="004D314A">
            <w:pPr>
              <w:jc w:val="both"/>
            </w:pPr>
            <w:r>
              <w:t>26.68</w:t>
            </w:r>
          </w:p>
        </w:tc>
        <w:tc>
          <w:tcPr>
            <w:tcW w:w="1283" w:type="dxa"/>
          </w:tcPr>
          <w:p w14:paraId="720FAECE" w14:textId="01C2F0DF" w:rsidR="008B41B9" w:rsidRDefault="008B41B9" w:rsidP="004D314A">
            <w:pPr>
              <w:jc w:val="both"/>
            </w:pPr>
            <w:r>
              <w:t>3.12</w:t>
            </w:r>
          </w:p>
        </w:tc>
        <w:tc>
          <w:tcPr>
            <w:tcW w:w="993" w:type="dxa"/>
          </w:tcPr>
          <w:p w14:paraId="5EB21722" w14:textId="2E9F5E99" w:rsidR="008B41B9" w:rsidRDefault="008B41B9" w:rsidP="004D314A">
            <w:pPr>
              <w:jc w:val="both"/>
            </w:pPr>
            <w:r>
              <w:t>26.68</w:t>
            </w:r>
          </w:p>
        </w:tc>
      </w:tr>
      <w:tr w:rsidR="008B41B9" w14:paraId="679C3EF1" w14:textId="77777777" w:rsidTr="008B41B9">
        <w:trPr>
          <w:jc w:val="center"/>
        </w:trPr>
        <w:tc>
          <w:tcPr>
            <w:tcW w:w="1718" w:type="dxa"/>
          </w:tcPr>
          <w:p w14:paraId="7E6C071E" w14:textId="093CF3E7" w:rsidR="008B41B9" w:rsidRPr="00CB7CFA" w:rsidRDefault="008B41B9" w:rsidP="004D314A">
            <w:pPr>
              <w:jc w:val="both"/>
              <w:rPr>
                <w:i/>
              </w:rPr>
            </w:pPr>
            <w:r w:rsidRPr="00CB7CFA">
              <w:rPr>
                <w:i/>
              </w:rPr>
              <w:t>Actual</w:t>
            </w:r>
          </w:p>
        </w:tc>
        <w:tc>
          <w:tcPr>
            <w:tcW w:w="1268" w:type="dxa"/>
          </w:tcPr>
          <w:p w14:paraId="554ECDBA" w14:textId="32FCF2C7" w:rsidR="008B41B9" w:rsidRDefault="008B41B9" w:rsidP="004D314A">
            <w:pPr>
              <w:jc w:val="both"/>
            </w:pPr>
            <w:r>
              <w:t>3.176</w:t>
            </w:r>
          </w:p>
        </w:tc>
        <w:tc>
          <w:tcPr>
            <w:tcW w:w="994" w:type="dxa"/>
          </w:tcPr>
          <w:p w14:paraId="4B37376E" w14:textId="2CFA89A8" w:rsidR="008B41B9" w:rsidRDefault="008B41B9" w:rsidP="004D314A">
            <w:pPr>
              <w:jc w:val="both"/>
            </w:pPr>
            <w:r>
              <w:t>22.22</w:t>
            </w:r>
          </w:p>
        </w:tc>
        <w:tc>
          <w:tcPr>
            <w:tcW w:w="1267" w:type="dxa"/>
          </w:tcPr>
          <w:p w14:paraId="20564F27" w14:textId="227FCD8F" w:rsidR="008B41B9" w:rsidRDefault="008B41B9" w:rsidP="004D314A">
            <w:pPr>
              <w:jc w:val="both"/>
            </w:pPr>
            <w:r>
              <w:t>6.35</w:t>
            </w:r>
          </w:p>
        </w:tc>
        <w:tc>
          <w:tcPr>
            <w:tcW w:w="993" w:type="dxa"/>
          </w:tcPr>
          <w:p w14:paraId="2A275CFE" w14:textId="1BFDA8C7" w:rsidR="008B41B9" w:rsidRDefault="008B41B9" w:rsidP="004D314A">
            <w:pPr>
              <w:jc w:val="both"/>
            </w:pPr>
            <w:r>
              <w:t>25.54</w:t>
            </w:r>
          </w:p>
        </w:tc>
        <w:tc>
          <w:tcPr>
            <w:tcW w:w="1283" w:type="dxa"/>
          </w:tcPr>
          <w:p w14:paraId="43273D3D" w14:textId="6D409080" w:rsidR="008B41B9" w:rsidRDefault="008B41B9" w:rsidP="004D314A">
            <w:pPr>
              <w:jc w:val="both"/>
            </w:pPr>
            <w:r>
              <w:t>6.55</w:t>
            </w:r>
          </w:p>
        </w:tc>
        <w:tc>
          <w:tcPr>
            <w:tcW w:w="993" w:type="dxa"/>
          </w:tcPr>
          <w:p w14:paraId="53651324" w14:textId="34F6A7A8" w:rsidR="008B41B9" w:rsidRDefault="008B41B9" w:rsidP="004D314A">
            <w:pPr>
              <w:jc w:val="both"/>
            </w:pPr>
            <w:r>
              <w:t>64.1</w:t>
            </w:r>
          </w:p>
        </w:tc>
      </w:tr>
    </w:tbl>
    <w:p w14:paraId="1FF13BCD" w14:textId="77777777" w:rsidR="00C62B4B" w:rsidRDefault="00C62B4B" w:rsidP="00C62B4B">
      <w:pPr>
        <w:jc w:val="both"/>
        <w:rPr>
          <w:i/>
          <w:sz w:val="22"/>
        </w:rPr>
      </w:pPr>
    </w:p>
    <w:p w14:paraId="0D851C41" w14:textId="362E85A8" w:rsidR="006849BC" w:rsidRDefault="008B41B9" w:rsidP="00C62B4B">
      <w:pPr>
        <w:jc w:val="both"/>
        <w:rPr>
          <w:i/>
          <w:sz w:val="22"/>
        </w:rPr>
      </w:pPr>
      <w:r>
        <w:rPr>
          <w:i/>
          <w:sz w:val="22"/>
        </w:rPr>
        <w:t xml:space="preserve">Table 1: </w:t>
      </w:r>
      <w:r w:rsidRPr="008B41B9">
        <w:rPr>
          <w:i/>
          <w:sz w:val="22"/>
        </w:rPr>
        <w:t xml:space="preserve">The </w:t>
      </w:r>
      <w:r>
        <w:rPr>
          <w:i/>
          <w:sz w:val="22"/>
        </w:rPr>
        <w:t>vacu</w:t>
      </w:r>
      <w:r w:rsidRPr="008B41B9">
        <w:rPr>
          <w:i/>
          <w:sz w:val="22"/>
        </w:rPr>
        <w:t>um line thicknesses and IRs</w:t>
      </w:r>
      <w:r w:rsidR="00C62B4B">
        <w:rPr>
          <w:i/>
          <w:sz w:val="22"/>
        </w:rPr>
        <w:t xml:space="preserve"> of the original ideal vacuum line, the </w:t>
      </w:r>
      <w:r w:rsidR="005A358E">
        <w:rPr>
          <w:i/>
          <w:sz w:val="22"/>
        </w:rPr>
        <w:t>CAD</w:t>
      </w:r>
      <w:r w:rsidR="00C62B4B">
        <w:rPr>
          <w:i/>
          <w:sz w:val="22"/>
        </w:rPr>
        <w:t xml:space="preserve"> </w:t>
      </w:r>
      <w:r w:rsidR="005A358E">
        <w:rPr>
          <w:i/>
          <w:sz w:val="22"/>
        </w:rPr>
        <w:t>version</w:t>
      </w:r>
      <w:r w:rsidR="00C62B4B">
        <w:rPr>
          <w:i/>
          <w:sz w:val="22"/>
        </w:rPr>
        <w:t xml:space="preserve"> and the one that was actually built</w:t>
      </w:r>
      <w:r w:rsidRPr="008B41B9">
        <w:rPr>
          <w:i/>
          <w:sz w:val="22"/>
        </w:rPr>
        <w:t>. Units are mm.</w:t>
      </w:r>
      <w:r w:rsidR="00C62B4B">
        <w:rPr>
          <w:i/>
          <w:sz w:val="22"/>
        </w:rPr>
        <w:t xml:space="preserve"> </w:t>
      </w:r>
    </w:p>
    <w:p w14:paraId="6325F211" w14:textId="77777777" w:rsidR="00515888" w:rsidRDefault="00515888" w:rsidP="006849BC"/>
    <w:p w14:paraId="0CEA763A" w14:textId="77777777" w:rsidR="00FD1C1D" w:rsidRDefault="00FD1C1D" w:rsidP="006849BC"/>
    <w:p w14:paraId="67EACFE6" w14:textId="6914BFD4" w:rsidR="00FD1C1D" w:rsidRPr="006849BC" w:rsidRDefault="00FD1C1D" w:rsidP="006849BC">
      <w:pPr>
        <w:rPr>
          <w:i/>
          <w:sz w:val="22"/>
        </w:rPr>
      </w:pPr>
      <w:r>
        <w:t xml:space="preserve">The </w:t>
      </w:r>
      <w:r w:rsidR="00732A0D">
        <w:t xml:space="preserve">vacuum </w:t>
      </w:r>
      <w:r>
        <w:t>beamline</w:t>
      </w:r>
      <w:r w:rsidR="00732A0D">
        <w:t xml:space="preserve"> was measured in July 2017 in Hall-B, see third column of Tab</w:t>
      </w:r>
      <w:r w:rsidR="0007614E">
        <w:t xml:space="preserve">le 1. The inner radii were </w:t>
      </w:r>
      <w:r w:rsidR="000660F0">
        <w:t xml:space="preserve">even </w:t>
      </w:r>
      <w:r w:rsidR="0007614E">
        <w:t xml:space="preserve">smaller </w:t>
      </w:r>
      <w:r w:rsidR="00241865">
        <w:t xml:space="preserve">than the </w:t>
      </w:r>
      <w:r w:rsidR="001049B1">
        <w:t>CAD</w:t>
      </w:r>
      <w:r w:rsidR="00241865">
        <w:t xml:space="preserve"> </w:t>
      </w:r>
      <w:r w:rsidR="001049B1">
        <w:t>version</w:t>
      </w:r>
      <w:r w:rsidR="009F788D">
        <w:t>.</w:t>
      </w:r>
    </w:p>
    <w:p w14:paraId="623D741B" w14:textId="77777777" w:rsidR="002A3F75" w:rsidRDefault="002A3F75"/>
    <w:p w14:paraId="5BAAB86C" w14:textId="77777777" w:rsidR="00637073" w:rsidRDefault="00637073"/>
    <w:p w14:paraId="2C1FBBE6" w14:textId="06B81C8B" w:rsidR="00630FF1" w:rsidRPr="00F130E7" w:rsidRDefault="00B40A5B" w:rsidP="000C3922">
      <w:pPr>
        <w:outlineLvl w:val="0"/>
        <w:rPr>
          <w:b/>
          <w:sz w:val="28"/>
        </w:rPr>
      </w:pPr>
      <w:r>
        <w:rPr>
          <w:b/>
          <w:sz w:val="28"/>
        </w:rPr>
        <w:t xml:space="preserve">First </w:t>
      </w:r>
      <w:r w:rsidR="00630FF1">
        <w:rPr>
          <w:b/>
          <w:sz w:val="28"/>
        </w:rPr>
        <w:t>Simulation Results</w:t>
      </w:r>
    </w:p>
    <w:p w14:paraId="357B1E1B" w14:textId="77777777" w:rsidR="003465B5" w:rsidRDefault="003465B5" w:rsidP="003465B5">
      <w:pPr>
        <w:jc w:val="both"/>
      </w:pPr>
    </w:p>
    <w:p w14:paraId="4214DD50" w14:textId="0610F418" w:rsidR="003465B5" w:rsidRDefault="003465B5" w:rsidP="003465B5">
      <w:pPr>
        <w:jc w:val="both"/>
      </w:pPr>
      <w:r>
        <w:t xml:space="preserve">Simulations were performed with GEMC 2.5 and geant4 </w:t>
      </w:r>
      <w:r w:rsidRPr="00194D49">
        <w:t>4.10.</w:t>
      </w:r>
      <w:proofErr w:type="gramStart"/>
      <w:r w:rsidRPr="00194D49">
        <w:t>02.p</w:t>
      </w:r>
      <w:proofErr w:type="gramEnd"/>
      <w:r w:rsidRPr="00194D49">
        <w:t>02</w:t>
      </w:r>
      <w:r>
        <w:t xml:space="preserve">. The standard </w:t>
      </w:r>
      <w:r w:rsidR="001552EE">
        <w:t>G</w:t>
      </w:r>
      <w:r>
        <w:t xml:space="preserve">eant4 electromagnetic physics list was used. The hadronic physics list </w:t>
      </w:r>
      <w:proofErr w:type="gramStart"/>
      <w:r>
        <w:t xml:space="preserve">was  </w:t>
      </w:r>
      <w:r w:rsidRPr="00194D49">
        <w:t>FTFP</w:t>
      </w:r>
      <w:proofErr w:type="gramEnd"/>
      <w:r w:rsidRPr="00194D49">
        <w:t>_BERT</w:t>
      </w:r>
      <w:r>
        <w:t>. The optical processes were included.</w:t>
      </w:r>
    </w:p>
    <w:p w14:paraId="5372BF44" w14:textId="77777777" w:rsidR="00453F6D" w:rsidRDefault="00453F6D" w:rsidP="003465B5">
      <w:pPr>
        <w:jc w:val="both"/>
      </w:pPr>
    </w:p>
    <w:p w14:paraId="74207435" w14:textId="77777777" w:rsidR="00453F6D" w:rsidRDefault="00453F6D" w:rsidP="003465B5">
      <w:pPr>
        <w:jc w:val="both"/>
      </w:pPr>
    </w:p>
    <w:p w14:paraId="637FB93B" w14:textId="1C8D208E" w:rsidR="00453F6D" w:rsidRDefault="00453F6D" w:rsidP="00453F6D">
      <w:r>
        <w:t>The small radii in the simulated version resulted in an overwhelming background in the drift chambers re</w:t>
      </w:r>
      <w:r w:rsidR="009035B0">
        <w:t>gion 3 (51% average occupancy), see Fig. 1.</w:t>
      </w:r>
      <w:r w:rsidR="001A601E">
        <w:t xml:space="preserve"> </w:t>
      </w:r>
    </w:p>
    <w:p w14:paraId="6D26B908" w14:textId="77777777" w:rsidR="006A75FD" w:rsidRDefault="006A75FD" w:rsidP="00453F6D"/>
    <w:p w14:paraId="22FC9B28" w14:textId="77777777" w:rsidR="009035B0" w:rsidRDefault="009035B0" w:rsidP="00453F6D"/>
    <w:p w14:paraId="53BAB361" w14:textId="4CD5347B" w:rsidR="009035B0" w:rsidRDefault="001A601E" w:rsidP="00D62973">
      <w:r w:rsidRPr="001A601E">
        <w:rPr>
          <w:noProof/>
        </w:rPr>
        <w:drawing>
          <wp:inline distT="0" distB="0" distL="0" distR="0" wp14:anchorId="3593D51D" wp14:editId="7BC898E7">
            <wp:extent cx="2468880" cy="2592323"/>
            <wp:effectExtent l="0" t="10795"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2468880" cy="2592323"/>
                    </a:xfrm>
                    <a:prstGeom prst="rect">
                      <a:avLst/>
                    </a:prstGeom>
                  </pic:spPr>
                </pic:pic>
              </a:graphicData>
            </a:graphic>
          </wp:inline>
        </w:drawing>
      </w:r>
      <w:r w:rsidR="00B646F3" w:rsidRPr="00B646F3">
        <w:rPr>
          <w:noProof/>
        </w:rPr>
        <w:t xml:space="preserve"> </w:t>
      </w:r>
      <w:r w:rsidR="00D62973" w:rsidRPr="00D62973">
        <w:rPr>
          <w:noProof/>
        </w:rPr>
        <w:drawing>
          <wp:inline distT="0" distB="0" distL="0" distR="0" wp14:anchorId="2A4B2063" wp14:editId="3DC07492">
            <wp:extent cx="2468880" cy="2592324"/>
            <wp:effectExtent l="0" t="10795"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2468880" cy="2592324"/>
                    </a:xfrm>
                    <a:prstGeom prst="rect">
                      <a:avLst/>
                    </a:prstGeom>
                  </pic:spPr>
                </pic:pic>
              </a:graphicData>
            </a:graphic>
          </wp:inline>
        </w:drawing>
      </w:r>
    </w:p>
    <w:p w14:paraId="1C1713A9" w14:textId="77777777" w:rsidR="00453F6D" w:rsidRDefault="00453F6D" w:rsidP="003465B5">
      <w:pPr>
        <w:jc w:val="both"/>
      </w:pPr>
    </w:p>
    <w:p w14:paraId="76F8B901" w14:textId="77777777" w:rsidR="001A601E" w:rsidRDefault="001A601E" w:rsidP="001A601E">
      <w:pPr>
        <w:jc w:val="both"/>
        <w:rPr>
          <w:i/>
          <w:sz w:val="22"/>
        </w:rPr>
      </w:pPr>
    </w:p>
    <w:p w14:paraId="3EDE446A" w14:textId="2CD97145" w:rsidR="001A601E" w:rsidRDefault="001A601E" w:rsidP="001A601E">
      <w:pPr>
        <w:jc w:val="both"/>
        <w:rPr>
          <w:i/>
          <w:sz w:val="22"/>
        </w:rPr>
      </w:pPr>
      <w:r>
        <w:rPr>
          <w:i/>
          <w:sz w:val="22"/>
        </w:rPr>
        <w:t>Figure 1: The smaller radii</w:t>
      </w:r>
      <w:r w:rsidR="0075194C">
        <w:rPr>
          <w:i/>
          <w:sz w:val="22"/>
        </w:rPr>
        <w:t xml:space="preserve"> in the CAD geometry</w:t>
      </w:r>
      <w:r w:rsidR="00B646F3">
        <w:rPr>
          <w:i/>
          <w:sz w:val="22"/>
        </w:rPr>
        <w:t xml:space="preserve"> (left)</w:t>
      </w:r>
      <w:r>
        <w:rPr>
          <w:i/>
          <w:sz w:val="22"/>
        </w:rPr>
        <w:t xml:space="preserve"> produced an average drift chamber region 3 occupancy of 51%, from </w:t>
      </w:r>
      <w:r w:rsidR="00D62973">
        <w:rPr>
          <w:i/>
          <w:sz w:val="22"/>
        </w:rPr>
        <w:t>1.2</w:t>
      </w:r>
      <w:r w:rsidR="00A2770D">
        <w:rPr>
          <w:i/>
          <w:sz w:val="22"/>
        </w:rPr>
        <w:t>% using the same conf</w:t>
      </w:r>
      <w:r w:rsidR="00B646F3">
        <w:rPr>
          <w:i/>
          <w:sz w:val="22"/>
        </w:rPr>
        <w:t>iguration but ideal vacuum line (right).</w:t>
      </w:r>
    </w:p>
    <w:p w14:paraId="3C59FE5B" w14:textId="77777777" w:rsidR="00453F6D" w:rsidRDefault="00453F6D" w:rsidP="003465B5">
      <w:pPr>
        <w:jc w:val="both"/>
      </w:pPr>
    </w:p>
    <w:p w14:paraId="7EAADBE8" w14:textId="77777777" w:rsidR="001A601E" w:rsidRDefault="001A601E" w:rsidP="003465B5">
      <w:pPr>
        <w:jc w:val="both"/>
      </w:pPr>
    </w:p>
    <w:p w14:paraId="78D4F377" w14:textId="36087063" w:rsidR="006A75FD" w:rsidRDefault="006A75FD" w:rsidP="003465B5">
      <w:pPr>
        <w:jc w:val="both"/>
      </w:pPr>
      <w:r>
        <w:t xml:space="preserve">The vertex of the particles hitting region 3 is shown in Fig. 2 for </w:t>
      </w:r>
      <w:r w:rsidR="00233329">
        <w:t xml:space="preserve">the </w:t>
      </w:r>
      <w:r w:rsidR="001209A8">
        <w:t>CAD</w:t>
      </w:r>
      <w:r w:rsidR="00233329">
        <w:t xml:space="preserve"> and ideal</w:t>
      </w:r>
      <w:r w:rsidR="004D047D">
        <w:t xml:space="preserve"> configuratio</w:t>
      </w:r>
      <w:r w:rsidR="001609E5">
        <w:t>n</w:t>
      </w:r>
      <w:r w:rsidR="00233329">
        <w:t>s</w:t>
      </w:r>
      <w:r w:rsidR="001609E5">
        <w:t>, showing that the smaller radius is the cause of the background rate increase in all the regions and especially region 1.</w:t>
      </w:r>
    </w:p>
    <w:p w14:paraId="2BAF0424" w14:textId="77777777" w:rsidR="001609E5" w:rsidRDefault="001609E5" w:rsidP="003465B5">
      <w:pPr>
        <w:jc w:val="both"/>
      </w:pPr>
    </w:p>
    <w:p w14:paraId="743EA4E7" w14:textId="77777777" w:rsidR="001609E5" w:rsidRDefault="001609E5" w:rsidP="003465B5">
      <w:pPr>
        <w:jc w:val="both"/>
      </w:pPr>
    </w:p>
    <w:p w14:paraId="20786B52" w14:textId="303F5EFD" w:rsidR="00233329" w:rsidRDefault="00233329" w:rsidP="003465B5">
      <w:pPr>
        <w:jc w:val="both"/>
      </w:pPr>
      <w:r>
        <w:rPr>
          <w:noProof/>
        </w:rPr>
        <w:drawing>
          <wp:inline distT="0" distB="0" distL="0" distR="0" wp14:anchorId="052D00D4" wp14:editId="0F57E373">
            <wp:extent cx="5394960" cy="2284962"/>
            <wp:effectExtent l="0" t="0" r="0" b="1270"/>
            <wp:docPr id="14" name="Picture 14" descr="/Users/ungaro/Desktop/Screen Shot 2017-11-14 at 9.5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ungaro/Desktop/Screen Shot 2017-11-14 at 9.58.3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2284962"/>
                    </a:xfrm>
                    <a:prstGeom prst="rect">
                      <a:avLst/>
                    </a:prstGeom>
                    <a:noFill/>
                    <a:ln>
                      <a:noFill/>
                    </a:ln>
                  </pic:spPr>
                </pic:pic>
              </a:graphicData>
            </a:graphic>
          </wp:inline>
        </w:drawing>
      </w:r>
    </w:p>
    <w:p w14:paraId="46B9E75B" w14:textId="77777777" w:rsidR="00233329" w:rsidRDefault="00233329" w:rsidP="003465B5">
      <w:pPr>
        <w:jc w:val="both"/>
      </w:pPr>
    </w:p>
    <w:p w14:paraId="00D1EA16" w14:textId="77777777" w:rsidR="00233329" w:rsidRDefault="00233329" w:rsidP="003465B5">
      <w:pPr>
        <w:jc w:val="both"/>
      </w:pPr>
    </w:p>
    <w:p w14:paraId="297B6BAE" w14:textId="24D2BE5B" w:rsidR="006A75FD" w:rsidRDefault="00233329" w:rsidP="003465B5">
      <w:pPr>
        <w:jc w:val="both"/>
      </w:pPr>
      <w:r>
        <w:rPr>
          <w:noProof/>
        </w:rPr>
        <w:drawing>
          <wp:inline distT="0" distB="0" distL="0" distR="0" wp14:anchorId="43EC5CE4" wp14:editId="765077DE">
            <wp:extent cx="5394960" cy="2232217"/>
            <wp:effectExtent l="0" t="0" r="0" b="3175"/>
            <wp:docPr id="13" name="Picture 13" descr="/Users/ungaro/Desktop/Screen Shot 2017-11-14 at 9.58.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ungaro/Desktop/Screen Shot 2017-11-14 at 9.58.4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2232217"/>
                    </a:xfrm>
                    <a:prstGeom prst="rect">
                      <a:avLst/>
                    </a:prstGeom>
                    <a:noFill/>
                    <a:ln>
                      <a:noFill/>
                    </a:ln>
                  </pic:spPr>
                </pic:pic>
              </a:graphicData>
            </a:graphic>
          </wp:inline>
        </w:drawing>
      </w:r>
    </w:p>
    <w:p w14:paraId="7EDEA8D5" w14:textId="77777777" w:rsidR="006A75FD" w:rsidRDefault="006A75FD" w:rsidP="003465B5">
      <w:pPr>
        <w:jc w:val="both"/>
      </w:pPr>
    </w:p>
    <w:p w14:paraId="19ED3C97" w14:textId="13BF4327" w:rsidR="005E485F" w:rsidRDefault="005E485F" w:rsidP="005E485F">
      <w:pPr>
        <w:jc w:val="both"/>
        <w:rPr>
          <w:i/>
          <w:sz w:val="22"/>
        </w:rPr>
      </w:pPr>
      <w:r>
        <w:rPr>
          <w:i/>
          <w:sz w:val="22"/>
        </w:rPr>
        <w:t xml:space="preserve">Figure 2: Transverse versus longitudinal vertex of particles hitting region 3. Top: CAD configuration. Bottom: ideal configuration. The smaller vacuum line causes </w:t>
      </w:r>
      <w:r w:rsidR="00DC0A92">
        <w:rPr>
          <w:i/>
          <w:sz w:val="22"/>
        </w:rPr>
        <w:t>a dramatic r</w:t>
      </w:r>
      <w:r w:rsidR="00CC0A23">
        <w:rPr>
          <w:i/>
          <w:sz w:val="22"/>
        </w:rPr>
        <w:t>ate increase in region 3.</w:t>
      </w:r>
    </w:p>
    <w:p w14:paraId="0F5DBB75" w14:textId="77777777" w:rsidR="005E485F" w:rsidRDefault="005E485F" w:rsidP="006A75FD">
      <w:pPr>
        <w:outlineLvl w:val="0"/>
        <w:rPr>
          <w:b/>
          <w:sz w:val="28"/>
        </w:rPr>
      </w:pPr>
    </w:p>
    <w:p w14:paraId="414175BD" w14:textId="79846A21" w:rsidR="006A75FD" w:rsidRDefault="006C47A3" w:rsidP="006A75FD">
      <w:pPr>
        <w:outlineLvl w:val="0"/>
        <w:rPr>
          <w:b/>
          <w:sz w:val="28"/>
        </w:rPr>
      </w:pPr>
      <w:r>
        <w:rPr>
          <w:b/>
          <w:sz w:val="28"/>
        </w:rPr>
        <w:t>A new design</w:t>
      </w:r>
    </w:p>
    <w:p w14:paraId="6D1FD6E8" w14:textId="77777777" w:rsidR="006C47A3" w:rsidRDefault="006C47A3" w:rsidP="006A75FD">
      <w:pPr>
        <w:outlineLvl w:val="0"/>
        <w:rPr>
          <w:b/>
          <w:sz w:val="28"/>
        </w:rPr>
      </w:pPr>
    </w:p>
    <w:p w14:paraId="67E86AE6" w14:textId="3AB787B7" w:rsidR="006C47A3" w:rsidRDefault="00DD2449" w:rsidP="006A75FD">
      <w:pPr>
        <w:outlineLvl w:val="0"/>
      </w:pPr>
      <w:r>
        <w:t>A team of physicists and engineers designed a new version of the vacuum line that aimed at enlarging the inner radii as much as possible while maintaining the safety clearances necessary for the CLAS12 installations and operations of the beamline, torus, various shielding. The material chosen was stainless steel.</w:t>
      </w:r>
    </w:p>
    <w:p w14:paraId="112741C1" w14:textId="77777777" w:rsidR="00DD2449" w:rsidRDefault="00DD2449" w:rsidP="006A75FD">
      <w:pPr>
        <w:outlineLvl w:val="0"/>
      </w:pPr>
    </w:p>
    <w:p w14:paraId="6686C7C4" w14:textId="1C9F0F99" w:rsidR="00DD2449" w:rsidRPr="00DD2449" w:rsidRDefault="00DD2449" w:rsidP="006A75FD">
      <w:pPr>
        <w:outlineLvl w:val="0"/>
      </w:pPr>
      <w:r>
        <w:t xml:space="preserve">The new vacuum line </w:t>
      </w:r>
      <w:r w:rsidR="00331CB6">
        <w:t>radius increases</w:t>
      </w:r>
      <w:r w:rsidR="00ED6788">
        <w:t xml:space="preserve"> </w:t>
      </w:r>
      <w:r w:rsidR="00B766D2">
        <w:t>in three steps</w:t>
      </w:r>
      <w:r w:rsidR="00ED6788">
        <w:t xml:space="preserve"> a</w:t>
      </w:r>
      <w:r w:rsidR="00E671F8">
        <w:t>long the beamline, see Figures 3</w:t>
      </w:r>
      <w:r w:rsidR="00D679D4">
        <w:t xml:space="preserve"> to 5</w:t>
      </w:r>
      <w:r w:rsidR="00ED6788">
        <w:t>.</w:t>
      </w:r>
      <w:r w:rsidR="00544A38">
        <w:t xml:space="preserve"> An additional shielding was designed downstream of the torus to reduce a “hot spot” of </w:t>
      </w:r>
      <w:r w:rsidR="001552EE">
        <w:t>M</w:t>
      </w:r>
      <w:r w:rsidR="00544A38">
        <w:t>oeller electrons originating just before the torus downstream endplate.</w:t>
      </w:r>
    </w:p>
    <w:p w14:paraId="5A59DD95" w14:textId="77777777" w:rsidR="006C47A3" w:rsidRDefault="006C47A3" w:rsidP="006A75FD">
      <w:pPr>
        <w:outlineLvl w:val="0"/>
        <w:rPr>
          <w:b/>
          <w:sz w:val="28"/>
        </w:rPr>
      </w:pPr>
    </w:p>
    <w:p w14:paraId="429E3ABA" w14:textId="4C7474A3" w:rsidR="00785A90" w:rsidRDefault="006310E1" w:rsidP="006310E1">
      <w:pPr>
        <w:outlineLvl w:val="0"/>
      </w:pPr>
      <w:r>
        <w:t xml:space="preserve">Table 2. shows the radii and thicknesses of the </w:t>
      </w:r>
      <w:r w:rsidR="00785A90">
        <w:t>new design.</w:t>
      </w:r>
    </w:p>
    <w:p w14:paraId="4B3FC005" w14:textId="77777777" w:rsidR="00785A90" w:rsidRDefault="00785A90" w:rsidP="006310E1">
      <w:pPr>
        <w:outlineLvl w:val="0"/>
      </w:pPr>
    </w:p>
    <w:p w14:paraId="67B66079" w14:textId="77777777" w:rsidR="00785A90" w:rsidRDefault="00785A90" w:rsidP="006310E1">
      <w:pPr>
        <w:outlineLvl w:val="0"/>
      </w:pPr>
    </w:p>
    <w:tbl>
      <w:tblPr>
        <w:tblStyle w:val="TableGrid"/>
        <w:tblW w:w="0" w:type="auto"/>
        <w:jc w:val="center"/>
        <w:tblLook w:val="04A0" w:firstRow="1" w:lastRow="0" w:firstColumn="1" w:lastColumn="0" w:noHBand="0" w:noVBand="1"/>
      </w:tblPr>
      <w:tblGrid>
        <w:gridCol w:w="1268"/>
        <w:gridCol w:w="994"/>
        <w:gridCol w:w="1267"/>
        <w:gridCol w:w="993"/>
        <w:gridCol w:w="1283"/>
        <w:gridCol w:w="993"/>
      </w:tblGrid>
      <w:tr w:rsidR="00785A90" w14:paraId="2A2297B6" w14:textId="77777777" w:rsidTr="001552EE">
        <w:trPr>
          <w:jc w:val="center"/>
        </w:trPr>
        <w:tc>
          <w:tcPr>
            <w:tcW w:w="2262" w:type="dxa"/>
            <w:gridSpan w:val="2"/>
          </w:tcPr>
          <w:p w14:paraId="4460BE55" w14:textId="77777777" w:rsidR="00785A90" w:rsidRDefault="00785A90" w:rsidP="001552EE">
            <w:pPr>
              <w:jc w:val="center"/>
            </w:pPr>
            <w:r>
              <w:t>Upstream of Torus</w:t>
            </w:r>
          </w:p>
        </w:tc>
        <w:tc>
          <w:tcPr>
            <w:tcW w:w="2260" w:type="dxa"/>
            <w:gridSpan w:val="2"/>
          </w:tcPr>
          <w:p w14:paraId="4E72A76F" w14:textId="3A40ABB2" w:rsidR="00785A90" w:rsidRDefault="00785A90" w:rsidP="001552EE">
            <w:pPr>
              <w:jc w:val="center"/>
            </w:pPr>
            <w:r>
              <w:t>Inside Torus</w:t>
            </w:r>
            <w:r w:rsidR="00845B51">
              <w:t xml:space="preserve"> Mount / Torus</w:t>
            </w:r>
          </w:p>
        </w:tc>
        <w:tc>
          <w:tcPr>
            <w:tcW w:w="2276" w:type="dxa"/>
            <w:gridSpan w:val="2"/>
          </w:tcPr>
          <w:p w14:paraId="1F8E1E06" w14:textId="77777777" w:rsidR="00785A90" w:rsidRDefault="00785A90" w:rsidP="001552EE">
            <w:pPr>
              <w:jc w:val="center"/>
            </w:pPr>
            <w:r>
              <w:t>Downstream of Torus</w:t>
            </w:r>
          </w:p>
        </w:tc>
      </w:tr>
      <w:tr w:rsidR="00785A90" w:rsidRPr="008B41B9" w14:paraId="4F56F22F" w14:textId="77777777" w:rsidTr="001552EE">
        <w:trPr>
          <w:jc w:val="center"/>
        </w:trPr>
        <w:tc>
          <w:tcPr>
            <w:tcW w:w="1268" w:type="dxa"/>
          </w:tcPr>
          <w:p w14:paraId="2FCC96AF" w14:textId="77777777" w:rsidR="00785A90" w:rsidRPr="008B41B9" w:rsidRDefault="00785A90" w:rsidP="001552EE">
            <w:pPr>
              <w:jc w:val="center"/>
              <w:rPr>
                <w:sz w:val="21"/>
              </w:rPr>
            </w:pPr>
            <w:r w:rsidRPr="008B41B9">
              <w:rPr>
                <w:sz w:val="21"/>
              </w:rPr>
              <w:t>Thickness</w:t>
            </w:r>
          </w:p>
        </w:tc>
        <w:tc>
          <w:tcPr>
            <w:tcW w:w="994" w:type="dxa"/>
          </w:tcPr>
          <w:p w14:paraId="56BD8AF8" w14:textId="77777777" w:rsidR="00785A90" w:rsidRPr="008B41B9" w:rsidRDefault="00785A90" w:rsidP="001552EE">
            <w:pPr>
              <w:jc w:val="center"/>
              <w:rPr>
                <w:sz w:val="21"/>
              </w:rPr>
            </w:pPr>
            <w:r w:rsidRPr="008B41B9">
              <w:rPr>
                <w:sz w:val="21"/>
              </w:rPr>
              <w:t>IR</w:t>
            </w:r>
          </w:p>
        </w:tc>
        <w:tc>
          <w:tcPr>
            <w:tcW w:w="1267" w:type="dxa"/>
          </w:tcPr>
          <w:p w14:paraId="40892C4D" w14:textId="77777777" w:rsidR="00785A90" w:rsidRPr="008B41B9" w:rsidRDefault="00785A90" w:rsidP="001552EE">
            <w:pPr>
              <w:jc w:val="center"/>
              <w:rPr>
                <w:sz w:val="21"/>
              </w:rPr>
            </w:pPr>
            <w:r w:rsidRPr="008B41B9">
              <w:rPr>
                <w:sz w:val="21"/>
              </w:rPr>
              <w:t>Thickness</w:t>
            </w:r>
          </w:p>
        </w:tc>
        <w:tc>
          <w:tcPr>
            <w:tcW w:w="993" w:type="dxa"/>
          </w:tcPr>
          <w:p w14:paraId="69756880" w14:textId="77777777" w:rsidR="00785A90" w:rsidRPr="008B41B9" w:rsidRDefault="00785A90" w:rsidP="001552EE">
            <w:pPr>
              <w:jc w:val="center"/>
              <w:rPr>
                <w:sz w:val="21"/>
              </w:rPr>
            </w:pPr>
            <w:r w:rsidRPr="008B41B9">
              <w:rPr>
                <w:sz w:val="21"/>
              </w:rPr>
              <w:t>IR</w:t>
            </w:r>
          </w:p>
        </w:tc>
        <w:tc>
          <w:tcPr>
            <w:tcW w:w="1283" w:type="dxa"/>
          </w:tcPr>
          <w:p w14:paraId="5836F13B" w14:textId="77777777" w:rsidR="00785A90" w:rsidRPr="008B41B9" w:rsidRDefault="00785A90" w:rsidP="001552EE">
            <w:pPr>
              <w:jc w:val="center"/>
              <w:rPr>
                <w:sz w:val="21"/>
              </w:rPr>
            </w:pPr>
            <w:r w:rsidRPr="008B41B9">
              <w:rPr>
                <w:sz w:val="21"/>
              </w:rPr>
              <w:t>Thickness</w:t>
            </w:r>
          </w:p>
        </w:tc>
        <w:tc>
          <w:tcPr>
            <w:tcW w:w="993" w:type="dxa"/>
          </w:tcPr>
          <w:p w14:paraId="4ED15281" w14:textId="77777777" w:rsidR="00785A90" w:rsidRPr="008B41B9" w:rsidRDefault="00785A90" w:rsidP="001552EE">
            <w:pPr>
              <w:jc w:val="center"/>
              <w:rPr>
                <w:sz w:val="21"/>
              </w:rPr>
            </w:pPr>
            <w:r w:rsidRPr="008B41B9">
              <w:rPr>
                <w:sz w:val="21"/>
              </w:rPr>
              <w:t>IR</w:t>
            </w:r>
          </w:p>
        </w:tc>
      </w:tr>
      <w:tr w:rsidR="00785A90" w14:paraId="3737CC96" w14:textId="77777777" w:rsidTr="001552EE">
        <w:trPr>
          <w:jc w:val="center"/>
        </w:trPr>
        <w:tc>
          <w:tcPr>
            <w:tcW w:w="1268" w:type="dxa"/>
          </w:tcPr>
          <w:p w14:paraId="6F18B9B6" w14:textId="7E431CB9" w:rsidR="00785A90" w:rsidRDefault="00785A90" w:rsidP="0033194D">
            <w:pPr>
              <w:jc w:val="center"/>
            </w:pPr>
            <w:r>
              <w:t>1.6</w:t>
            </w:r>
          </w:p>
        </w:tc>
        <w:tc>
          <w:tcPr>
            <w:tcW w:w="994" w:type="dxa"/>
          </w:tcPr>
          <w:p w14:paraId="2299757A" w14:textId="16C95F0A" w:rsidR="00785A90" w:rsidRDefault="00785A90" w:rsidP="0033194D">
            <w:pPr>
              <w:jc w:val="center"/>
            </w:pPr>
            <w:r>
              <w:t>26.9</w:t>
            </w:r>
          </w:p>
        </w:tc>
        <w:tc>
          <w:tcPr>
            <w:tcW w:w="1267" w:type="dxa"/>
          </w:tcPr>
          <w:p w14:paraId="743C949F" w14:textId="17A39458" w:rsidR="00785A90" w:rsidRDefault="00785A90" w:rsidP="0033194D">
            <w:pPr>
              <w:jc w:val="center"/>
            </w:pPr>
            <w:r>
              <w:t>1.6</w:t>
            </w:r>
          </w:p>
        </w:tc>
        <w:tc>
          <w:tcPr>
            <w:tcW w:w="993" w:type="dxa"/>
          </w:tcPr>
          <w:p w14:paraId="531E86A8" w14:textId="0C93FEF3" w:rsidR="00785A90" w:rsidRDefault="00785A90" w:rsidP="0033194D">
            <w:pPr>
              <w:jc w:val="center"/>
            </w:pPr>
            <w:r>
              <w:t>33.3</w:t>
            </w:r>
          </w:p>
        </w:tc>
        <w:tc>
          <w:tcPr>
            <w:tcW w:w="1283" w:type="dxa"/>
          </w:tcPr>
          <w:p w14:paraId="5520AE47" w14:textId="7CBBA7D8" w:rsidR="00785A90" w:rsidRDefault="00785A90" w:rsidP="0033194D">
            <w:pPr>
              <w:jc w:val="center"/>
            </w:pPr>
            <w:r>
              <w:t>3.2</w:t>
            </w:r>
          </w:p>
        </w:tc>
        <w:tc>
          <w:tcPr>
            <w:tcW w:w="993" w:type="dxa"/>
          </w:tcPr>
          <w:p w14:paraId="61CAAC10" w14:textId="47C6EDC9" w:rsidR="00785A90" w:rsidRDefault="00785A90" w:rsidP="0033194D">
            <w:pPr>
              <w:jc w:val="center"/>
            </w:pPr>
            <w:r>
              <w:t>60.3</w:t>
            </w:r>
          </w:p>
        </w:tc>
      </w:tr>
    </w:tbl>
    <w:p w14:paraId="5A9FE7EF" w14:textId="77777777" w:rsidR="00785A90" w:rsidRPr="006310E1" w:rsidRDefault="00785A90" w:rsidP="006310E1">
      <w:pPr>
        <w:outlineLvl w:val="0"/>
      </w:pPr>
    </w:p>
    <w:p w14:paraId="7BC357C0" w14:textId="265B525B" w:rsidR="001A601E" w:rsidRDefault="0033194D" w:rsidP="003465B5">
      <w:pPr>
        <w:jc w:val="both"/>
        <w:rPr>
          <w:i/>
          <w:sz w:val="22"/>
        </w:rPr>
      </w:pPr>
      <w:r>
        <w:rPr>
          <w:i/>
          <w:sz w:val="22"/>
        </w:rPr>
        <w:t xml:space="preserve">Table 2: </w:t>
      </w:r>
      <w:r w:rsidRPr="008B41B9">
        <w:rPr>
          <w:i/>
          <w:sz w:val="22"/>
        </w:rPr>
        <w:t xml:space="preserve">The </w:t>
      </w:r>
      <w:r>
        <w:rPr>
          <w:i/>
          <w:sz w:val="22"/>
        </w:rPr>
        <w:t>vacu</w:t>
      </w:r>
      <w:r w:rsidRPr="008B41B9">
        <w:rPr>
          <w:i/>
          <w:sz w:val="22"/>
        </w:rPr>
        <w:t>um line thicknesses and IRs</w:t>
      </w:r>
      <w:r>
        <w:rPr>
          <w:i/>
          <w:sz w:val="22"/>
        </w:rPr>
        <w:t xml:space="preserve"> of the new designed vacuum line. </w:t>
      </w:r>
      <w:r w:rsidRPr="008B41B9">
        <w:rPr>
          <w:i/>
          <w:sz w:val="22"/>
        </w:rPr>
        <w:t>Units are mm.</w:t>
      </w:r>
    </w:p>
    <w:p w14:paraId="2FCC7386" w14:textId="77777777" w:rsidR="00F057E8" w:rsidRDefault="00F057E8" w:rsidP="003465B5">
      <w:pPr>
        <w:jc w:val="both"/>
        <w:rPr>
          <w:i/>
          <w:sz w:val="22"/>
        </w:rPr>
      </w:pPr>
    </w:p>
    <w:p w14:paraId="5178A2DC" w14:textId="77777777" w:rsidR="00F057E8" w:rsidRDefault="00F057E8" w:rsidP="003465B5">
      <w:pPr>
        <w:jc w:val="both"/>
        <w:rPr>
          <w:i/>
          <w:sz w:val="22"/>
        </w:rPr>
      </w:pPr>
    </w:p>
    <w:p w14:paraId="19F54614" w14:textId="77777777" w:rsidR="00845B51" w:rsidRDefault="00845B51" w:rsidP="003465B5">
      <w:pPr>
        <w:jc w:val="both"/>
        <w:rPr>
          <w:i/>
          <w:sz w:val="22"/>
        </w:rPr>
      </w:pPr>
    </w:p>
    <w:p w14:paraId="1C0CC131" w14:textId="3DFA12B9" w:rsidR="00F057E8" w:rsidRDefault="00F057E8" w:rsidP="003465B5">
      <w:pPr>
        <w:jc w:val="both"/>
        <w:rPr>
          <w:i/>
          <w:sz w:val="22"/>
        </w:rPr>
      </w:pPr>
      <w:r>
        <w:rPr>
          <w:i/>
          <w:noProof/>
          <w:sz w:val="22"/>
        </w:rPr>
        <w:drawing>
          <wp:inline distT="0" distB="0" distL="0" distR="0" wp14:anchorId="561BEA76" wp14:editId="1EEE7B3A">
            <wp:extent cx="5260975" cy="4211320"/>
            <wp:effectExtent l="0" t="0" r="0" b="5080"/>
            <wp:docPr id="17" name="Picture 17" descr="/Users/ungaro/Desktop/Screen Shot 2017-11-14 at 10.52.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ngaro/Desktop/Screen Shot 2017-11-14 at 10.52.2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975" cy="4211320"/>
                    </a:xfrm>
                    <a:prstGeom prst="rect">
                      <a:avLst/>
                    </a:prstGeom>
                    <a:noFill/>
                    <a:ln>
                      <a:noFill/>
                    </a:ln>
                  </pic:spPr>
                </pic:pic>
              </a:graphicData>
            </a:graphic>
          </wp:inline>
        </w:drawing>
      </w:r>
    </w:p>
    <w:p w14:paraId="480C3F8D" w14:textId="77777777" w:rsidR="007065F1" w:rsidRDefault="007065F1" w:rsidP="007065F1">
      <w:pPr>
        <w:jc w:val="both"/>
        <w:rPr>
          <w:i/>
          <w:sz w:val="22"/>
        </w:rPr>
      </w:pPr>
    </w:p>
    <w:p w14:paraId="18EECF87" w14:textId="77777777" w:rsidR="007065F1" w:rsidRPr="006310E1" w:rsidRDefault="007065F1" w:rsidP="007065F1">
      <w:pPr>
        <w:outlineLvl w:val="0"/>
      </w:pPr>
    </w:p>
    <w:p w14:paraId="1C9C3693" w14:textId="1D3F2182" w:rsidR="007065F1" w:rsidRDefault="007065F1" w:rsidP="007065F1">
      <w:pPr>
        <w:jc w:val="both"/>
        <w:rPr>
          <w:i/>
          <w:sz w:val="22"/>
        </w:rPr>
      </w:pPr>
      <w:r>
        <w:rPr>
          <w:i/>
          <w:sz w:val="22"/>
        </w:rPr>
        <w:t xml:space="preserve">Figure </w:t>
      </w:r>
      <w:r w:rsidR="00CC7EF3">
        <w:rPr>
          <w:i/>
          <w:sz w:val="22"/>
        </w:rPr>
        <w:t>3</w:t>
      </w:r>
      <w:r>
        <w:rPr>
          <w:i/>
          <w:sz w:val="22"/>
        </w:rPr>
        <w:t xml:space="preserve">: </w:t>
      </w:r>
      <w:r w:rsidRPr="008B41B9">
        <w:rPr>
          <w:i/>
          <w:sz w:val="22"/>
        </w:rPr>
        <w:t xml:space="preserve">The </w:t>
      </w:r>
      <w:r>
        <w:rPr>
          <w:i/>
          <w:sz w:val="22"/>
        </w:rPr>
        <w:t xml:space="preserve">implementation of the new design in </w:t>
      </w:r>
      <w:proofErr w:type="spellStart"/>
      <w:r>
        <w:rPr>
          <w:i/>
          <w:sz w:val="22"/>
        </w:rPr>
        <w:t>gemc</w:t>
      </w:r>
      <w:proofErr w:type="spellEnd"/>
      <w:r>
        <w:rPr>
          <w:i/>
          <w:sz w:val="22"/>
        </w:rPr>
        <w:t xml:space="preserve">: </w:t>
      </w:r>
      <w:r w:rsidR="00CC7EF3">
        <w:rPr>
          <w:i/>
          <w:sz w:val="22"/>
        </w:rPr>
        <w:t>overview</w:t>
      </w:r>
      <w:r>
        <w:rPr>
          <w:i/>
          <w:sz w:val="22"/>
        </w:rPr>
        <w:t xml:space="preserve">. The beam goes from left to right. </w:t>
      </w:r>
      <w:r w:rsidR="00845B51">
        <w:rPr>
          <w:i/>
          <w:sz w:val="22"/>
        </w:rPr>
        <w:t xml:space="preserve">On the left the CAD model of the target is shown. The beam goes then inside the tungsten shield (cyan color), the forward tagger inner mount and shield (red), and the beamline torus mount (blue, with red alignment nuts). The various torus components (coils, cold and warm hub, shields, endplates, steel frame, </w:t>
      </w:r>
      <w:proofErr w:type="spellStart"/>
      <w:r w:rsidR="00845B51">
        <w:rPr>
          <w:i/>
          <w:sz w:val="22"/>
        </w:rPr>
        <w:t>etc</w:t>
      </w:r>
      <w:proofErr w:type="spellEnd"/>
      <w:r w:rsidR="00845B51">
        <w:rPr>
          <w:i/>
          <w:sz w:val="22"/>
        </w:rPr>
        <w:t xml:space="preserve">) also imported from the CAD model. Downstream of the torus a new shield is shown together with the “apex” shield that was used in CLAS (red </w:t>
      </w:r>
      <w:proofErr w:type="gramStart"/>
      <w:r w:rsidR="00845B51">
        <w:rPr>
          <w:i/>
          <w:sz w:val="22"/>
        </w:rPr>
        <w:t>stainless steel</w:t>
      </w:r>
      <w:proofErr w:type="gramEnd"/>
      <w:r w:rsidR="00845B51">
        <w:rPr>
          <w:i/>
          <w:sz w:val="22"/>
        </w:rPr>
        <w:t xml:space="preserve"> enclosure to with blue lead inside).</w:t>
      </w:r>
    </w:p>
    <w:p w14:paraId="5EBDACB5" w14:textId="77777777" w:rsidR="00F057E8" w:rsidRDefault="00F057E8" w:rsidP="003465B5">
      <w:pPr>
        <w:jc w:val="both"/>
        <w:rPr>
          <w:i/>
          <w:sz w:val="22"/>
        </w:rPr>
      </w:pPr>
    </w:p>
    <w:p w14:paraId="2D978867" w14:textId="77777777" w:rsidR="00F057E8" w:rsidRDefault="00F057E8" w:rsidP="003465B5">
      <w:pPr>
        <w:jc w:val="both"/>
        <w:rPr>
          <w:i/>
          <w:sz w:val="22"/>
        </w:rPr>
      </w:pPr>
    </w:p>
    <w:p w14:paraId="2958996E" w14:textId="77777777" w:rsidR="00F057E8" w:rsidRDefault="00F057E8" w:rsidP="003465B5">
      <w:pPr>
        <w:jc w:val="both"/>
        <w:rPr>
          <w:i/>
          <w:sz w:val="22"/>
        </w:rPr>
      </w:pPr>
    </w:p>
    <w:p w14:paraId="18732748" w14:textId="77777777" w:rsidR="0033194D" w:rsidRDefault="0033194D" w:rsidP="003465B5">
      <w:pPr>
        <w:jc w:val="both"/>
        <w:rPr>
          <w:i/>
          <w:sz w:val="22"/>
        </w:rPr>
      </w:pPr>
    </w:p>
    <w:p w14:paraId="1CFDFDA5" w14:textId="77777777" w:rsidR="007065F1" w:rsidRDefault="007065F1" w:rsidP="003465B5">
      <w:pPr>
        <w:jc w:val="both"/>
        <w:rPr>
          <w:i/>
          <w:sz w:val="22"/>
        </w:rPr>
      </w:pPr>
    </w:p>
    <w:p w14:paraId="56F86F38" w14:textId="77777777" w:rsidR="007065F1" w:rsidRDefault="007065F1" w:rsidP="003465B5">
      <w:pPr>
        <w:jc w:val="both"/>
        <w:rPr>
          <w:i/>
          <w:sz w:val="22"/>
        </w:rPr>
      </w:pPr>
    </w:p>
    <w:p w14:paraId="13CF8DBD" w14:textId="77777777" w:rsidR="007065F1" w:rsidRDefault="007065F1" w:rsidP="003465B5">
      <w:pPr>
        <w:jc w:val="both"/>
        <w:rPr>
          <w:i/>
          <w:sz w:val="22"/>
        </w:rPr>
      </w:pPr>
    </w:p>
    <w:p w14:paraId="1C7D4FB3" w14:textId="77777777" w:rsidR="007065F1" w:rsidRDefault="007065F1" w:rsidP="003465B5">
      <w:pPr>
        <w:jc w:val="both"/>
        <w:rPr>
          <w:i/>
          <w:sz w:val="22"/>
        </w:rPr>
      </w:pPr>
    </w:p>
    <w:p w14:paraId="0E6736CF" w14:textId="77777777" w:rsidR="007065F1" w:rsidRDefault="007065F1" w:rsidP="003465B5">
      <w:pPr>
        <w:jc w:val="both"/>
        <w:rPr>
          <w:i/>
          <w:sz w:val="22"/>
        </w:rPr>
      </w:pPr>
    </w:p>
    <w:p w14:paraId="28AE6031" w14:textId="77777777" w:rsidR="007065F1" w:rsidRDefault="007065F1" w:rsidP="003465B5">
      <w:pPr>
        <w:jc w:val="both"/>
        <w:rPr>
          <w:i/>
          <w:sz w:val="22"/>
        </w:rPr>
      </w:pPr>
    </w:p>
    <w:p w14:paraId="14B6ADCE" w14:textId="77777777" w:rsidR="0033194D" w:rsidRDefault="0033194D" w:rsidP="003465B5">
      <w:pPr>
        <w:jc w:val="both"/>
        <w:rPr>
          <w:i/>
          <w:sz w:val="22"/>
        </w:rPr>
      </w:pPr>
    </w:p>
    <w:p w14:paraId="3F36779A" w14:textId="4198E0BF" w:rsidR="0033194D" w:rsidRDefault="00E671F8" w:rsidP="003465B5">
      <w:pPr>
        <w:jc w:val="both"/>
        <w:rPr>
          <w:i/>
          <w:sz w:val="22"/>
        </w:rPr>
      </w:pPr>
      <w:r w:rsidRPr="00E671F8">
        <w:rPr>
          <w:i/>
          <w:noProof/>
          <w:sz w:val="22"/>
        </w:rPr>
        <w:drawing>
          <wp:inline distT="0" distB="0" distL="0" distR="0" wp14:anchorId="20F2CBBE" wp14:editId="3CAFAB05">
            <wp:extent cx="5212080" cy="22184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12080" cy="2218482"/>
                    </a:xfrm>
                    <a:prstGeom prst="rect">
                      <a:avLst/>
                    </a:prstGeom>
                  </pic:spPr>
                </pic:pic>
              </a:graphicData>
            </a:graphic>
          </wp:inline>
        </w:drawing>
      </w:r>
    </w:p>
    <w:p w14:paraId="7B6EEAB8" w14:textId="77777777" w:rsidR="00E671F8" w:rsidRDefault="00E671F8" w:rsidP="003465B5">
      <w:pPr>
        <w:jc w:val="both"/>
        <w:rPr>
          <w:i/>
          <w:sz w:val="22"/>
        </w:rPr>
      </w:pPr>
    </w:p>
    <w:p w14:paraId="77E6BE4A" w14:textId="77777777" w:rsidR="00E671F8" w:rsidRPr="006310E1" w:rsidRDefault="00E671F8" w:rsidP="00E671F8">
      <w:pPr>
        <w:outlineLvl w:val="0"/>
      </w:pPr>
    </w:p>
    <w:p w14:paraId="6A1F106C" w14:textId="5FD1E727" w:rsidR="00E671F8" w:rsidRDefault="00E671F8" w:rsidP="00E671F8">
      <w:pPr>
        <w:jc w:val="both"/>
        <w:rPr>
          <w:i/>
          <w:sz w:val="22"/>
        </w:rPr>
      </w:pPr>
      <w:r>
        <w:rPr>
          <w:i/>
          <w:sz w:val="22"/>
        </w:rPr>
        <w:t xml:space="preserve">Figure </w:t>
      </w:r>
      <w:r w:rsidR="007065F1">
        <w:rPr>
          <w:i/>
          <w:sz w:val="22"/>
        </w:rPr>
        <w:t>4</w:t>
      </w:r>
      <w:r>
        <w:rPr>
          <w:i/>
          <w:sz w:val="22"/>
        </w:rPr>
        <w:t xml:space="preserve">: </w:t>
      </w:r>
      <w:r w:rsidRPr="008B41B9">
        <w:rPr>
          <w:i/>
          <w:sz w:val="22"/>
        </w:rPr>
        <w:t xml:space="preserve">The </w:t>
      </w:r>
      <w:r w:rsidR="00E64621">
        <w:rPr>
          <w:i/>
          <w:sz w:val="22"/>
        </w:rPr>
        <w:t xml:space="preserve">implementation of the new design in </w:t>
      </w:r>
      <w:proofErr w:type="spellStart"/>
      <w:r w:rsidR="00E64621">
        <w:rPr>
          <w:i/>
          <w:sz w:val="22"/>
        </w:rPr>
        <w:t>gemc</w:t>
      </w:r>
      <w:proofErr w:type="spellEnd"/>
      <w:r w:rsidR="00E64621">
        <w:rPr>
          <w:i/>
          <w:sz w:val="22"/>
        </w:rPr>
        <w:t xml:space="preserve">: upstream of the torus. The beam goes from left to right. The vacuum line is 1.6mm thick and its inner radius is 26.9mm. </w:t>
      </w:r>
      <w:r w:rsidR="00845B51">
        <w:rPr>
          <w:i/>
          <w:sz w:val="22"/>
        </w:rPr>
        <w:t>I</w:t>
      </w:r>
      <w:r w:rsidR="00E64621">
        <w:rPr>
          <w:i/>
          <w:sz w:val="22"/>
        </w:rPr>
        <w:t>nside the torus</w:t>
      </w:r>
      <w:r w:rsidR="00845B51">
        <w:rPr>
          <w:i/>
          <w:sz w:val="22"/>
        </w:rPr>
        <w:t xml:space="preserve"> mount</w:t>
      </w:r>
      <w:r w:rsidR="00E64621">
        <w:rPr>
          <w:i/>
          <w:sz w:val="22"/>
        </w:rPr>
        <w:t xml:space="preserve"> (right </w:t>
      </w:r>
      <w:r w:rsidR="00845B51">
        <w:rPr>
          <w:i/>
          <w:sz w:val="22"/>
        </w:rPr>
        <w:t>center</w:t>
      </w:r>
      <w:r w:rsidR="00E64621">
        <w:rPr>
          <w:i/>
          <w:sz w:val="22"/>
        </w:rPr>
        <w:t xml:space="preserve"> of the figure) the radius jumps to 33.3</w:t>
      </w:r>
      <w:r w:rsidR="00845B51">
        <w:rPr>
          <w:i/>
          <w:sz w:val="22"/>
        </w:rPr>
        <w:t>mm. This size is constant throughout the torus</w:t>
      </w:r>
    </w:p>
    <w:p w14:paraId="49737540" w14:textId="77777777" w:rsidR="00E64621" w:rsidRDefault="00E64621" w:rsidP="00E671F8">
      <w:pPr>
        <w:jc w:val="both"/>
        <w:rPr>
          <w:i/>
          <w:sz w:val="22"/>
        </w:rPr>
      </w:pPr>
    </w:p>
    <w:p w14:paraId="3A239657" w14:textId="77777777" w:rsidR="0063761E" w:rsidRDefault="0063761E" w:rsidP="00E671F8">
      <w:pPr>
        <w:jc w:val="both"/>
        <w:rPr>
          <w:i/>
          <w:sz w:val="22"/>
        </w:rPr>
      </w:pPr>
    </w:p>
    <w:p w14:paraId="59AFF59D" w14:textId="77777777" w:rsidR="00E64621" w:rsidRDefault="00E64621" w:rsidP="00E671F8">
      <w:pPr>
        <w:jc w:val="both"/>
        <w:rPr>
          <w:i/>
          <w:sz w:val="22"/>
        </w:rPr>
      </w:pPr>
    </w:p>
    <w:p w14:paraId="4E6E774E" w14:textId="50B56F0C" w:rsidR="00E64621" w:rsidRDefault="00E64621" w:rsidP="00E671F8">
      <w:pPr>
        <w:jc w:val="both"/>
        <w:rPr>
          <w:i/>
          <w:sz w:val="22"/>
        </w:rPr>
      </w:pPr>
      <w:r w:rsidRPr="00E64621">
        <w:rPr>
          <w:i/>
          <w:noProof/>
          <w:sz w:val="22"/>
        </w:rPr>
        <w:drawing>
          <wp:inline distT="0" distB="0" distL="0" distR="0" wp14:anchorId="5B720AA8" wp14:editId="3AE71964">
            <wp:extent cx="5212080" cy="3067522"/>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2080" cy="3067522"/>
                    </a:xfrm>
                    <a:prstGeom prst="rect">
                      <a:avLst/>
                    </a:prstGeom>
                  </pic:spPr>
                </pic:pic>
              </a:graphicData>
            </a:graphic>
          </wp:inline>
        </w:drawing>
      </w:r>
    </w:p>
    <w:p w14:paraId="7EE3BB0E" w14:textId="77777777" w:rsidR="00E64621" w:rsidRDefault="00E64621" w:rsidP="00E671F8">
      <w:pPr>
        <w:jc w:val="both"/>
        <w:rPr>
          <w:i/>
          <w:sz w:val="22"/>
        </w:rPr>
      </w:pPr>
    </w:p>
    <w:p w14:paraId="1BF4BED3" w14:textId="2B9A50D2" w:rsidR="00E64621" w:rsidRDefault="00E64621" w:rsidP="00E64621">
      <w:pPr>
        <w:jc w:val="both"/>
        <w:rPr>
          <w:i/>
          <w:sz w:val="22"/>
        </w:rPr>
      </w:pPr>
      <w:r>
        <w:rPr>
          <w:i/>
          <w:sz w:val="22"/>
        </w:rPr>
        <w:t xml:space="preserve">Figure </w:t>
      </w:r>
      <w:r w:rsidR="007065F1">
        <w:rPr>
          <w:i/>
          <w:sz w:val="22"/>
        </w:rPr>
        <w:t>5</w:t>
      </w:r>
      <w:r>
        <w:rPr>
          <w:i/>
          <w:sz w:val="22"/>
        </w:rPr>
        <w:t xml:space="preserve">: </w:t>
      </w:r>
      <w:r w:rsidRPr="008B41B9">
        <w:rPr>
          <w:i/>
          <w:sz w:val="22"/>
        </w:rPr>
        <w:t xml:space="preserve">The </w:t>
      </w:r>
      <w:r>
        <w:rPr>
          <w:i/>
          <w:sz w:val="22"/>
        </w:rPr>
        <w:t xml:space="preserve">implementation of the new design in </w:t>
      </w:r>
      <w:proofErr w:type="spellStart"/>
      <w:r>
        <w:rPr>
          <w:i/>
          <w:sz w:val="22"/>
        </w:rPr>
        <w:t>gemc</w:t>
      </w:r>
      <w:proofErr w:type="spellEnd"/>
      <w:r>
        <w:rPr>
          <w:i/>
          <w:sz w:val="22"/>
        </w:rPr>
        <w:t xml:space="preserve">: </w:t>
      </w:r>
      <w:r w:rsidR="00845B51">
        <w:rPr>
          <w:i/>
          <w:sz w:val="22"/>
        </w:rPr>
        <w:t>downstream</w:t>
      </w:r>
      <w:r>
        <w:rPr>
          <w:i/>
          <w:sz w:val="22"/>
        </w:rPr>
        <w:t xml:space="preserve"> of the torus. The beam goes from left to right. The vacuum line radius </w:t>
      </w:r>
      <w:r w:rsidR="00D37FF1">
        <w:rPr>
          <w:i/>
          <w:sz w:val="22"/>
        </w:rPr>
        <w:t>increases</w:t>
      </w:r>
      <w:r w:rsidR="00845B51">
        <w:rPr>
          <w:i/>
          <w:sz w:val="22"/>
        </w:rPr>
        <w:t xml:space="preserve"> from </w:t>
      </w:r>
      <w:r>
        <w:rPr>
          <w:i/>
          <w:sz w:val="22"/>
        </w:rPr>
        <w:t>33.3</w:t>
      </w:r>
      <w:r w:rsidR="00845B51">
        <w:rPr>
          <w:i/>
          <w:sz w:val="22"/>
        </w:rPr>
        <w:t xml:space="preserve">mm to 60.3mm inside the newly designed downstream shield. Also in the picture is the “apex” shielding used in CLAS6. </w:t>
      </w:r>
    </w:p>
    <w:p w14:paraId="692F9C89" w14:textId="77777777" w:rsidR="00E671F8" w:rsidRDefault="00E671F8" w:rsidP="003465B5">
      <w:pPr>
        <w:jc w:val="both"/>
      </w:pPr>
    </w:p>
    <w:p w14:paraId="1C25466B" w14:textId="77777777" w:rsidR="00845B51" w:rsidRDefault="00845B51" w:rsidP="000C3922">
      <w:pPr>
        <w:outlineLvl w:val="0"/>
        <w:rPr>
          <w:b/>
          <w:sz w:val="28"/>
        </w:rPr>
      </w:pPr>
    </w:p>
    <w:p w14:paraId="0474A119" w14:textId="77777777" w:rsidR="00845B51" w:rsidRDefault="00845B51" w:rsidP="000C3922">
      <w:pPr>
        <w:outlineLvl w:val="0"/>
        <w:rPr>
          <w:b/>
          <w:sz w:val="28"/>
        </w:rPr>
      </w:pPr>
    </w:p>
    <w:p w14:paraId="3BEA5EBE" w14:textId="4DD53E54" w:rsidR="00845B51" w:rsidRDefault="00845B51" w:rsidP="00845B51">
      <w:pPr>
        <w:outlineLvl w:val="0"/>
        <w:rPr>
          <w:b/>
          <w:sz w:val="28"/>
        </w:rPr>
      </w:pPr>
      <w:r>
        <w:rPr>
          <w:b/>
          <w:sz w:val="28"/>
        </w:rPr>
        <w:t>New results</w:t>
      </w:r>
    </w:p>
    <w:p w14:paraId="19466055" w14:textId="77777777" w:rsidR="00845B51" w:rsidRDefault="00845B51" w:rsidP="000C3922">
      <w:pPr>
        <w:outlineLvl w:val="0"/>
        <w:rPr>
          <w:b/>
          <w:sz w:val="28"/>
        </w:rPr>
      </w:pPr>
    </w:p>
    <w:p w14:paraId="1F368B2F" w14:textId="174DEA33" w:rsidR="00D679D4" w:rsidRDefault="00F44F80" w:rsidP="000C3922">
      <w:pPr>
        <w:outlineLvl w:val="0"/>
      </w:pPr>
      <w:r>
        <w:t>More</w:t>
      </w:r>
      <w:r w:rsidR="00DB4FC0">
        <w:t xml:space="preserve"> simulations were performed as the </w:t>
      </w:r>
      <w:r>
        <w:t>new</w:t>
      </w:r>
      <w:r w:rsidR="00DB4FC0">
        <w:t xml:space="preserve"> vacuum line </w:t>
      </w:r>
      <w:r>
        <w:t xml:space="preserve">design </w:t>
      </w:r>
      <w:r w:rsidR="00DB4FC0">
        <w:t xml:space="preserve">was being finalized. </w:t>
      </w:r>
      <w:r w:rsidR="00D679D4">
        <w:t xml:space="preserve">The </w:t>
      </w:r>
      <w:r w:rsidR="00DB4FC0">
        <w:t>final configuration</w:t>
      </w:r>
      <w:r w:rsidR="00D679D4">
        <w:t xml:space="preserve"> </w:t>
      </w:r>
      <w:r w:rsidR="00055E01">
        <w:t>with</w:t>
      </w:r>
      <w:r w:rsidR="00D679D4">
        <w:t xml:space="preserve"> the new design </w:t>
      </w:r>
      <w:r w:rsidR="00DB4FC0">
        <w:t xml:space="preserve">was simulated in October 2017, and the results </w:t>
      </w:r>
      <w:r w:rsidR="00D679D4">
        <w:t>are summarized in Fig. 6.</w:t>
      </w:r>
      <w:r w:rsidR="0063761E">
        <w:t xml:space="preserve"> The </w:t>
      </w:r>
      <w:r w:rsidR="00C22650">
        <w:t xml:space="preserve">rates are </w:t>
      </w:r>
      <w:r w:rsidR="009A041B">
        <w:t xml:space="preserve">in line </w:t>
      </w:r>
      <w:r w:rsidR="00C22650">
        <w:t>with the ideal configuration and the vertex shows the problematic background disappeared from the vacuum line.</w:t>
      </w:r>
    </w:p>
    <w:p w14:paraId="4D96E388" w14:textId="77777777" w:rsidR="006942ED" w:rsidRDefault="006942ED" w:rsidP="000C3922">
      <w:pPr>
        <w:outlineLvl w:val="0"/>
      </w:pPr>
    </w:p>
    <w:p w14:paraId="30A3B159" w14:textId="77777777" w:rsidR="006942ED" w:rsidRDefault="006942ED" w:rsidP="000C3922">
      <w:pPr>
        <w:outlineLvl w:val="0"/>
      </w:pPr>
    </w:p>
    <w:p w14:paraId="12D76E1D" w14:textId="77777777" w:rsidR="006942ED" w:rsidRDefault="006942ED" w:rsidP="000C3922">
      <w:pPr>
        <w:outlineLvl w:val="0"/>
      </w:pPr>
    </w:p>
    <w:p w14:paraId="6DA80CA6" w14:textId="77777777" w:rsidR="006942ED" w:rsidRDefault="006942ED" w:rsidP="000C3922">
      <w:pPr>
        <w:outlineLvl w:val="0"/>
      </w:pPr>
    </w:p>
    <w:p w14:paraId="62FA2C65" w14:textId="66035B96" w:rsidR="006942ED" w:rsidRDefault="006942ED" w:rsidP="000C3922">
      <w:pPr>
        <w:outlineLvl w:val="0"/>
      </w:pPr>
      <w:r>
        <w:rPr>
          <w:rFonts w:ascii="Helvetica" w:hAnsi="Helvetica" w:cs="Helvetica"/>
          <w:noProof/>
        </w:rPr>
        <w:drawing>
          <wp:inline distT="0" distB="0" distL="0" distR="0" wp14:anchorId="5CD51A73" wp14:editId="31EEA1D7">
            <wp:extent cx="2468880" cy="2396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3098" r="12604"/>
                    <a:stretch/>
                  </pic:blipFill>
                  <pic:spPr bwMode="auto">
                    <a:xfrm>
                      <a:off x="0" y="0"/>
                      <a:ext cx="2468880" cy="239612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r w:rsidRPr="006942ED">
        <w:rPr>
          <w:rFonts w:ascii="Helvetica" w:hAnsi="Helvetica" w:cs="Helvetica"/>
        </w:rPr>
        <w:t xml:space="preserve"> </w:t>
      </w:r>
      <w:r>
        <w:rPr>
          <w:rFonts w:ascii="Helvetica" w:hAnsi="Helvetica" w:cs="Helvetica"/>
          <w:noProof/>
        </w:rPr>
        <w:drawing>
          <wp:inline distT="0" distB="0" distL="0" distR="0" wp14:anchorId="1CCF81A5" wp14:editId="4221441B">
            <wp:extent cx="2743200" cy="233249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12886"/>
                    <a:stretch/>
                  </pic:blipFill>
                  <pic:spPr bwMode="auto">
                    <a:xfrm>
                      <a:off x="0" y="0"/>
                      <a:ext cx="2743200" cy="23324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C7E2DB4" w14:textId="77777777" w:rsidR="006942ED" w:rsidRDefault="006942ED" w:rsidP="000C3922">
      <w:pPr>
        <w:outlineLvl w:val="0"/>
        <w:rPr>
          <w:i/>
          <w:sz w:val="22"/>
        </w:rPr>
      </w:pPr>
    </w:p>
    <w:p w14:paraId="107B0247" w14:textId="49F632D2" w:rsidR="00C22650" w:rsidRPr="00D679D4" w:rsidRDefault="006942ED" w:rsidP="000C3922">
      <w:pPr>
        <w:outlineLvl w:val="0"/>
      </w:pPr>
      <w:r>
        <w:rPr>
          <w:i/>
          <w:sz w:val="22"/>
        </w:rPr>
        <w:t>Figure 6: Results of the new design simulation. Left: the drift chamber occupancies are aligned with the original ideal configuration. Right: the vacuum line does not produce any discernible background in region 3 anymore.</w:t>
      </w:r>
    </w:p>
    <w:p w14:paraId="0A864EC9" w14:textId="77777777" w:rsidR="00D679D4" w:rsidRDefault="00D679D4" w:rsidP="000C3922">
      <w:pPr>
        <w:outlineLvl w:val="0"/>
        <w:rPr>
          <w:b/>
          <w:sz w:val="28"/>
        </w:rPr>
      </w:pPr>
    </w:p>
    <w:p w14:paraId="05088426" w14:textId="77777777" w:rsidR="006942ED" w:rsidRDefault="006942ED" w:rsidP="000C3922">
      <w:pPr>
        <w:outlineLvl w:val="0"/>
        <w:rPr>
          <w:b/>
          <w:sz w:val="28"/>
        </w:rPr>
      </w:pPr>
    </w:p>
    <w:p w14:paraId="5E366BB1" w14:textId="68CE4DE6" w:rsidR="002250C6" w:rsidRDefault="002250C6" w:rsidP="000C3922">
      <w:pPr>
        <w:outlineLvl w:val="0"/>
        <w:rPr>
          <w:b/>
          <w:sz w:val="28"/>
        </w:rPr>
      </w:pPr>
      <w:r w:rsidRPr="002250C6">
        <w:rPr>
          <w:b/>
          <w:sz w:val="28"/>
        </w:rPr>
        <w:t>Conclusions</w:t>
      </w:r>
    </w:p>
    <w:p w14:paraId="56DF7944" w14:textId="77777777" w:rsidR="00BC5572" w:rsidRPr="002250C6" w:rsidRDefault="00BC5572" w:rsidP="002250C6">
      <w:pPr>
        <w:rPr>
          <w:b/>
          <w:sz w:val="28"/>
        </w:rPr>
      </w:pPr>
    </w:p>
    <w:p w14:paraId="2964DCBA" w14:textId="3B5848ED" w:rsidR="002250C6" w:rsidRPr="0069180C" w:rsidRDefault="0069180C" w:rsidP="0069180C">
      <w:r>
        <w:t>The new vacuum line design and the additional downstream shielding corrected a problematic background rate originating from a small vacuum line radius.</w:t>
      </w:r>
      <w:r w:rsidR="008E1568" w:rsidRPr="0069180C">
        <w:t xml:space="preserve"> </w:t>
      </w:r>
    </w:p>
    <w:p w14:paraId="16B9BF0B" w14:textId="2879AE9B" w:rsidR="00965A15" w:rsidRDefault="00965A15" w:rsidP="00965A15">
      <w:pPr>
        <w:jc w:val="center"/>
      </w:pPr>
    </w:p>
    <w:p w14:paraId="3DEE8335" w14:textId="77777777" w:rsidR="00965A15" w:rsidRDefault="00965A15" w:rsidP="00437E79">
      <w:pPr>
        <w:jc w:val="center"/>
      </w:pPr>
    </w:p>
    <w:p w14:paraId="03E58E86" w14:textId="77777777" w:rsidR="008612F1" w:rsidRDefault="008612F1" w:rsidP="008612F1">
      <w:pPr>
        <w:jc w:val="both"/>
      </w:pPr>
    </w:p>
    <w:p w14:paraId="18996FC4" w14:textId="77777777" w:rsidR="008612F1" w:rsidRPr="00F130E7" w:rsidRDefault="008612F1" w:rsidP="000C3922">
      <w:pPr>
        <w:outlineLvl w:val="0"/>
        <w:rPr>
          <w:b/>
          <w:sz w:val="28"/>
        </w:rPr>
      </w:pPr>
      <w:r>
        <w:rPr>
          <w:b/>
          <w:sz w:val="28"/>
        </w:rPr>
        <w:t>References</w:t>
      </w:r>
    </w:p>
    <w:p w14:paraId="5B8BC8F5" w14:textId="77777777" w:rsidR="00CA22FC" w:rsidRDefault="00CA22FC" w:rsidP="008612F1">
      <w:pPr>
        <w:jc w:val="both"/>
      </w:pPr>
    </w:p>
    <w:p w14:paraId="516177D0" w14:textId="00D24966" w:rsidR="008612F1" w:rsidRDefault="009D1A13" w:rsidP="008612F1">
      <w:pPr>
        <w:jc w:val="both"/>
      </w:pPr>
      <w:r>
        <w:t xml:space="preserve">[1] </w:t>
      </w:r>
      <w:r w:rsidR="008612F1">
        <w:t xml:space="preserve">R. De Vita and M. Ungaro, CLAS12-note 2016-006, </w:t>
      </w:r>
      <w:r w:rsidR="008612F1" w:rsidRPr="00E23E57">
        <w:t>Moller shield simulations: comparison of the</w:t>
      </w:r>
      <w:r w:rsidR="008612F1">
        <w:t xml:space="preserve"> </w:t>
      </w:r>
      <w:r w:rsidR="008612F1" w:rsidRPr="00E23E57">
        <w:t>GEMC-optimized layout and the engineering</w:t>
      </w:r>
      <w:r w:rsidR="008612F1">
        <w:t xml:space="preserve"> </w:t>
      </w:r>
      <w:r w:rsidR="008612F1" w:rsidRPr="00E23E57">
        <w:t>design</w:t>
      </w:r>
      <w:r w:rsidR="008612F1">
        <w:t>.</w:t>
      </w:r>
    </w:p>
    <w:p w14:paraId="618CEB0C" w14:textId="77777777" w:rsidR="008612F1" w:rsidRDefault="008612F1" w:rsidP="00F10884"/>
    <w:p w14:paraId="76221E72" w14:textId="77777777" w:rsidR="008612F1" w:rsidRDefault="008612F1" w:rsidP="008612F1">
      <w:pPr>
        <w:jc w:val="center"/>
      </w:pPr>
    </w:p>
    <w:p w14:paraId="4542F7E7" w14:textId="77777777" w:rsidR="00965A15" w:rsidRPr="008418AB" w:rsidRDefault="00965A15" w:rsidP="008612F1"/>
    <w:sectPr w:rsidR="00965A15" w:rsidRPr="008418AB" w:rsidSect="00EF64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640C0"/>
    <w:multiLevelType w:val="multilevel"/>
    <w:tmpl w:val="A6581E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CA93A6F"/>
    <w:multiLevelType w:val="multilevel"/>
    <w:tmpl w:val="2B14ED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1A58FD"/>
    <w:multiLevelType w:val="hybridMultilevel"/>
    <w:tmpl w:val="680A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F6C1E"/>
    <w:multiLevelType w:val="hybridMultilevel"/>
    <w:tmpl w:val="59626278"/>
    <w:lvl w:ilvl="0" w:tplc="EDDCCA8E">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34AC4"/>
    <w:multiLevelType w:val="hybridMultilevel"/>
    <w:tmpl w:val="258CBC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8641F"/>
    <w:multiLevelType w:val="hybridMultilevel"/>
    <w:tmpl w:val="C7F2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64FBA"/>
    <w:multiLevelType w:val="multilevel"/>
    <w:tmpl w:val="D0E6C7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95B2E9D"/>
    <w:multiLevelType w:val="hybridMultilevel"/>
    <w:tmpl w:val="998659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EA10704"/>
    <w:multiLevelType w:val="multilevel"/>
    <w:tmpl w:val="B1EE85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66BF0459"/>
    <w:multiLevelType w:val="multilevel"/>
    <w:tmpl w:val="EC1C72B8"/>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10">
    <w:nsid w:val="7BE0245C"/>
    <w:multiLevelType w:val="hybridMultilevel"/>
    <w:tmpl w:val="B84A96C6"/>
    <w:lvl w:ilvl="0" w:tplc="9EFCA884">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C00C1"/>
    <w:multiLevelType w:val="hybridMultilevel"/>
    <w:tmpl w:val="EA68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1"/>
  </w:num>
  <w:num w:numId="4">
    <w:abstractNumId w:val="5"/>
  </w:num>
  <w:num w:numId="5">
    <w:abstractNumId w:val="0"/>
  </w:num>
  <w:num w:numId="6">
    <w:abstractNumId w:val="8"/>
  </w:num>
  <w:num w:numId="7">
    <w:abstractNumId w:val="9"/>
  </w:num>
  <w:num w:numId="8">
    <w:abstractNumId w:val="6"/>
  </w:num>
  <w:num w:numId="9">
    <w:abstractNumId w:val="2"/>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C6"/>
    <w:rsid w:val="00000F41"/>
    <w:rsid w:val="00010258"/>
    <w:rsid w:val="00013237"/>
    <w:rsid w:val="00031075"/>
    <w:rsid w:val="00045CFE"/>
    <w:rsid w:val="00055E01"/>
    <w:rsid w:val="00056937"/>
    <w:rsid w:val="000660F0"/>
    <w:rsid w:val="0007614E"/>
    <w:rsid w:val="000B1D08"/>
    <w:rsid w:val="000C3922"/>
    <w:rsid w:val="000C6260"/>
    <w:rsid w:val="000C660B"/>
    <w:rsid w:val="000D4201"/>
    <w:rsid w:val="000E0329"/>
    <w:rsid w:val="000E1D33"/>
    <w:rsid w:val="000E6C60"/>
    <w:rsid w:val="001049B1"/>
    <w:rsid w:val="00111D73"/>
    <w:rsid w:val="001209A8"/>
    <w:rsid w:val="00134D62"/>
    <w:rsid w:val="0014198C"/>
    <w:rsid w:val="00145C06"/>
    <w:rsid w:val="00154C7C"/>
    <w:rsid w:val="001552EE"/>
    <w:rsid w:val="001609E5"/>
    <w:rsid w:val="00164FA1"/>
    <w:rsid w:val="00171337"/>
    <w:rsid w:val="00182D3B"/>
    <w:rsid w:val="00183571"/>
    <w:rsid w:val="001860F1"/>
    <w:rsid w:val="00194D49"/>
    <w:rsid w:val="001A601E"/>
    <w:rsid w:val="001A6287"/>
    <w:rsid w:val="001C1A86"/>
    <w:rsid w:val="001D26E1"/>
    <w:rsid w:val="001D7364"/>
    <w:rsid w:val="001E7764"/>
    <w:rsid w:val="001F4385"/>
    <w:rsid w:val="00202799"/>
    <w:rsid w:val="00205822"/>
    <w:rsid w:val="002250C6"/>
    <w:rsid w:val="00225D80"/>
    <w:rsid w:val="00233329"/>
    <w:rsid w:val="00237394"/>
    <w:rsid w:val="0024080F"/>
    <w:rsid w:val="002410F6"/>
    <w:rsid w:val="00241865"/>
    <w:rsid w:val="0024569C"/>
    <w:rsid w:val="002A3F75"/>
    <w:rsid w:val="002B2717"/>
    <w:rsid w:val="002B3193"/>
    <w:rsid w:val="00301324"/>
    <w:rsid w:val="00324BAD"/>
    <w:rsid w:val="00324C0C"/>
    <w:rsid w:val="0033194D"/>
    <w:rsid w:val="00331CB6"/>
    <w:rsid w:val="00337BEB"/>
    <w:rsid w:val="003465B5"/>
    <w:rsid w:val="00361416"/>
    <w:rsid w:val="00365840"/>
    <w:rsid w:val="00365D04"/>
    <w:rsid w:val="0036661F"/>
    <w:rsid w:val="00367590"/>
    <w:rsid w:val="00372BAA"/>
    <w:rsid w:val="00372C98"/>
    <w:rsid w:val="003A67AE"/>
    <w:rsid w:val="003C296C"/>
    <w:rsid w:val="003C6F2D"/>
    <w:rsid w:val="003E3674"/>
    <w:rsid w:val="003E39E5"/>
    <w:rsid w:val="003E75B2"/>
    <w:rsid w:val="003F3681"/>
    <w:rsid w:val="003F36FB"/>
    <w:rsid w:val="003F7990"/>
    <w:rsid w:val="00437E79"/>
    <w:rsid w:val="00444840"/>
    <w:rsid w:val="00453F6D"/>
    <w:rsid w:val="00455600"/>
    <w:rsid w:val="00463694"/>
    <w:rsid w:val="00485A35"/>
    <w:rsid w:val="004A1F89"/>
    <w:rsid w:val="004A43C1"/>
    <w:rsid w:val="004B59BF"/>
    <w:rsid w:val="004D047D"/>
    <w:rsid w:val="004D314A"/>
    <w:rsid w:val="004D5266"/>
    <w:rsid w:val="004F7087"/>
    <w:rsid w:val="0050210B"/>
    <w:rsid w:val="0050451E"/>
    <w:rsid w:val="00515888"/>
    <w:rsid w:val="005360A8"/>
    <w:rsid w:val="00544A38"/>
    <w:rsid w:val="00557238"/>
    <w:rsid w:val="0058275E"/>
    <w:rsid w:val="00592724"/>
    <w:rsid w:val="005A21FC"/>
    <w:rsid w:val="005A358E"/>
    <w:rsid w:val="005A4A67"/>
    <w:rsid w:val="005B14C3"/>
    <w:rsid w:val="005C7AFC"/>
    <w:rsid w:val="005D3AEB"/>
    <w:rsid w:val="005E2A74"/>
    <w:rsid w:val="005E485F"/>
    <w:rsid w:val="005E5A75"/>
    <w:rsid w:val="00612025"/>
    <w:rsid w:val="00627870"/>
    <w:rsid w:val="00630FF1"/>
    <w:rsid w:val="006310E1"/>
    <w:rsid w:val="00637073"/>
    <w:rsid w:val="0063761E"/>
    <w:rsid w:val="0064140E"/>
    <w:rsid w:val="00666EDC"/>
    <w:rsid w:val="00667C9E"/>
    <w:rsid w:val="006804BF"/>
    <w:rsid w:val="00682502"/>
    <w:rsid w:val="006849BC"/>
    <w:rsid w:val="0069180C"/>
    <w:rsid w:val="006942ED"/>
    <w:rsid w:val="00695B34"/>
    <w:rsid w:val="006A75FD"/>
    <w:rsid w:val="006C4600"/>
    <w:rsid w:val="006C47A3"/>
    <w:rsid w:val="006C6C5B"/>
    <w:rsid w:val="007015CE"/>
    <w:rsid w:val="007065F1"/>
    <w:rsid w:val="00732A0D"/>
    <w:rsid w:val="0075039A"/>
    <w:rsid w:val="00751020"/>
    <w:rsid w:val="0075194C"/>
    <w:rsid w:val="00776215"/>
    <w:rsid w:val="00785A90"/>
    <w:rsid w:val="007B0485"/>
    <w:rsid w:val="007B506C"/>
    <w:rsid w:val="007B5C9C"/>
    <w:rsid w:val="007B636F"/>
    <w:rsid w:val="007C376F"/>
    <w:rsid w:val="007C3EE5"/>
    <w:rsid w:val="007F20E6"/>
    <w:rsid w:val="008418AB"/>
    <w:rsid w:val="0084294B"/>
    <w:rsid w:val="00845B51"/>
    <w:rsid w:val="00852743"/>
    <w:rsid w:val="008612F1"/>
    <w:rsid w:val="0086644F"/>
    <w:rsid w:val="00870DDE"/>
    <w:rsid w:val="00887AF0"/>
    <w:rsid w:val="00892345"/>
    <w:rsid w:val="008A0862"/>
    <w:rsid w:val="008A729B"/>
    <w:rsid w:val="008B41B9"/>
    <w:rsid w:val="008D0722"/>
    <w:rsid w:val="008D72AF"/>
    <w:rsid w:val="008E1568"/>
    <w:rsid w:val="00902812"/>
    <w:rsid w:val="009035B0"/>
    <w:rsid w:val="009054C6"/>
    <w:rsid w:val="00921AEF"/>
    <w:rsid w:val="009250ED"/>
    <w:rsid w:val="00933A38"/>
    <w:rsid w:val="00965A15"/>
    <w:rsid w:val="00987F72"/>
    <w:rsid w:val="009976DB"/>
    <w:rsid w:val="009A041B"/>
    <w:rsid w:val="009A2773"/>
    <w:rsid w:val="009B4BFD"/>
    <w:rsid w:val="009C123F"/>
    <w:rsid w:val="009C7E37"/>
    <w:rsid w:val="009D18C0"/>
    <w:rsid w:val="009D1A13"/>
    <w:rsid w:val="009D7F5F"/>
    <w:rsid w:val="009F788D"/>
    <w:rsid w:val="00A2770D"/>
    <w:rsid w:val="00A353AF"/>
    <w:rsid w:val="00A619C9"/>
    <w:rsid w:val="00A71BFE"/>
    <w:rsid w:val="00A71D00"/>
    <w:rsid w:val="00A77CDB"/>
    <w:rsid w:val="00A9787A"/>
    <w:rsid w:val="00AA5BBB"/>
    <w:rsid w:val="00AA6673"/>
    <w:rsid w:val="00AE0F38"/>
    <w:rsid w:val="00AF541A"/>
    <w:rsid w:val="00B06782"/>
    <w:rsid w:val="00B118DE"/>
    <w:rsid w:val="00B20A51"/>
    <w:rsid w:val="00B23F41"/>
    <w:rsid w:val="00B40A5B"/>
    <w:rsid w:val="00B45A71"/>
    <w:rsid w:val="00B646F3"/>
    <w:rsid w:val="00B766D2"/>
    <w:rsid w:val="00B77909"/>
    <w:rsid w:val="00BB4865"/>
    <w:rsid w:val="00BC5572"/>
    <w:rsid w:val="00BD27A9"/>
    <w:rsid w:val="00BE4202"/>
    <w:rsid w:val="00BE4CFA"/>
    <w:rsid w:val="00BE7F2E"/>
    <w:rsid w:val="00C03BC3"/>
    <w:rsid w:val="00C2103A"/>
    <w:rsid w:val="00C22650"/>
    <w:rsid w:val="00C50004"/>
    <w:rsid w:val="00C53924"/>
    <w:rsid w:val="00C543A8"/>
    <w:rsid w:val="00C6043B"/>
    <w:rsid w:val="00C62A99"/>
    <w:rsid w:val="00C62B4B"/>
    <w:rsid w:val="00C645B7"/>
    <w:rsid w:val="00CA22FC"/>
    <w:rsid w:val="00CB7CFA"/>
    <w:rsid w:val="00CC0A23"/>
    <w:rsid w:val="00CC7EF3"/>
    <w:rsid w:val="00CD2F45"/>
    <w:rsid w:val="00CD3F1C"/>
    <w:rsid w:val="00CF50F6"/>
    <w:rsid w:val="00D26AB5"/>
    <w:rsid w:val="00D27150"/>
    <w:rsid w:val="00D37FF1"/>
    <w:rsid w:val="00D53D69"/>
    <w:rsid w:val="00D62973"/>
    <w:rsid w:val="00D65C39"/>
    <w:rsid w:val="00D679D4"/>
    <w:rsid w:val="00D75A71"/>
    <w:rsid w:val="00D96E58"/>
    <w:rsid w:val="00DA67F6"/>
    <w:rsid w:val="00DA6D90"/>
    <w:rsid w:val="00DB4FC0"/>
    <w:rsid w:val="00DC0A92"/>
    <w:rsid w:val="00DD2449"/>
    <w:rsid w:val="00DE1674"/>
    <w:rsid w:val="00E23B87"/>
    <w:rsid w:val="00E23E57"/>
    <w:rsid w:val="00E33AAD"/>
    <w:rsid w:val="00E42852"/>
    <w:rsid w:val="00E551E2"/>
    <w:rsid w:val="00E6182D"/>
    <w:rsid w:val="00E64621"/>
    <w:rsid w:val="00E671F8"/>
    <w:rsid w:val="00E84059"/>
    <w:rsid w:val="00E87145"/>
    <w:rsid w:val="00E95081"/>
    <w:rsid w:val="00E96186"/>
    <w:rsid w:val="00EA7A9B"/>
    <w:rsid w:val="00EC1CA0"/>
    <w:rsid w:val="00ED1213"/>
    <w:rsid w:val="00ED4AFB"/>
    <w:rsid w:val="00ED6788"/>
    <w:rsid w:val="00EE018D"/>
    <w:rsid w:val="00EF64AD"/>
    <w:rsid w:val="00F0377F"/>
    <w:rsid w:val="00F04B8F"/>
    <w:rsid w:val="00F04DD4"/>
    <w:rsid w:val="00F057E8"/>
    <w:rsid w:val="00F10884"/>
    <w:rsid w:val="00F130E7"/>
    <w:rsid w:val="00F151C4"/>
    <w:rsid w:val="00F349D0"/>
    <w:rsid w:val="00F44F80"/>
    <w:rsid w:val="00F57332"/>
    <w:rsid w:val="00F66DB9"/>
    <w:rsid w:val="00F706A0"/>
    <w:rsid w:val="00F74A3E"/>
    <w:rsid w:val="00F77409"/>
    <w:rsid w:val="00F86BDA"/>
    <w:rsid w:val="00FA6998"/>
    <w:rsid w:val="00FB4047"/>
    <w:rsid w:val="00FD1C1D"/>
    <w:rsid w:val="00FD5B79"/>
    <w:rsid w:val="00FD715D"/>
    <w:rsid w:val="00FE3E36"/>
    <w:rsid w:val="00FE3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A2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3F4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DDE"/>
    <w:rPr>
      <w:rFonts w:ascii="Lucida Grande" w:hAnsi="Lucida Grande" w:cs="Lucida Grande"/>
      <w:sz w:val="18"/>
      <w:szCs w:val="18"/>
    </w:rPr>
  </w:style>
  <w:style w:type="paragraph" w:styleId="ListParagraph">
    <w:name w:val="List Paragraph"/>
    <w:basedOn w:val="Normal"/>
    <w:uiPriority w:val="34"/>
    <w:qFormat/>
    <w:rsid w:val="002250C6"/>
    <w:pPr>
      <w:ind w:left="720"/>
      <w:contextualSpacing/>
    </w:pPr>
    <w:rPr>
      <w:rFonts w:asciiTheme="minorHAnsi" w:hAnsiTheme="minorHAnsi" w:cstheme="minorBidi"/>
    </w:rPr>
  </w:style>
  <w:style w:type="paragraph" w:styleId="DocumentMap">
    <w:name w:val="Document Map"/>
    <w:basedOn w:val="Normal"/>
    <w:link w:val="DocumentMapChar"/>
    <w:uiPriority w:val="99"/>
    <w:semiHidden/>
    <w:unhideWhenUsed/>
    <w:rsid w:val="000C3922"/>
  </w:style>
  <w:style w:type="character" w:customStyle="1" w:styleId="DocumentMapChar">
    <w:name w:val="Document Map Char"/>
    <w:basedOn w:val="DefaultParagraphFont"/>
    <w:link w:val="DocumentMap"/>
    <w:uiPriority w:val="99"/>
    <w:semiHidden/>
    <w:rsid w:val="000C3922"/>
    <w:rPr>
      <w:rFonts w:ascii="Times New Roman" w:hAnsi="Times New Roman" w:cs="Times New Roman"/>
    </w:rPr>
  </w:style>
  <w:style w:type="table" w:styleId="TableGrid">
    <w:name w:val="Table Grid"/>
    <w:basedOn w:val="TableNormal"/>
    <w:uiPriority w:val="59"/>
    <w:rsid w:val="008B4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552EE"/>
    <w:rPr>
      <w:sz w:val="18"/>
      <w:szCs w:val="18"/>
    </w:rPr>
  </w:style>
  <w:style w:type="paragraph" w:styleId="CommentText">
    <w:name w:val="annotation text"/>
    <w:basedOn w:val="Normal"/>
    <w:link w:val="CommentTextChar"/>
    <w:uiPriority w:val="99"/>
    <w:semiHidden/>
    <w:unhideWhenUsed/>
    <w:rsid w:val="001552EE"/>
  </w:style>
  <w:style w:type="character" w:customStyle="1" w:styleId="CommentTextChar">
    <w:name w:val="Comment Text Char"/>
    <w:basedOn w:val="DefaultParagraphFont"/>
    <w:link w:val="CommentText"/>
    <w:uiPriority w:val="99"/>
    <w:semiHidden/>
    <w:rsid w:val="001552EE"/>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552EE"/>
    <w:rPr>
      <w:b/>
      <w:bCs/>
      <w:sz w:val="20"/>
      <w:szCs w:val="20"/>
    </w:rPr>
  </w:style>
  <w:style w:type="character" w:customStyle="1" w:styleId="CommentSubjectChar">
    <w:name w:val="Comment Subject Char"/>
    <w:basedOn w:val="CommentTextChar"/>
    <w:link w:val="CommentSubject"/>
    <w:uiPriority w:val="99"/>
    <w:semiHidden/>
    <w:rsid w:val="001552EE"/>
    <w:rPr>
      <w:rFonts w:ascii="Times New Roman" w:hAnsi="Times New Roman" w:cs="Times New Roman"/>
      <w:b/>
      <w:bCs/>
      <w:sz w:val="20"/>
      <w:szCs w:val="20"/>
    </w:rPr>
  </w:style>
  <w:style w:type="paragraph" w:styleId="Revision">
    <w:name w:val="Revision"/>
    <w:hidden/>
    <w:uiPriority w:val="99"/>
    <w:semiHidden/>
    <w:rsid w:val="003A67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22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1024</Words>
  <Characters>5841</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R. De Vita</vt:lpstr>
      <vt:lpstr>L. Elouadrhiri, R. Miller, S. Stepanyan, M. Ungaro, C. Wiggins, M. Zarecky</vt:lpstr>
      <vt:lpstr>Abstract</vt:lpstr>
      <vt:lpstr/>
      <vt:lpstr>Simulated Detector, Beam and Target Configuration</vt:lpstr>
      <vt:lpstr>First Simulation Results</vt:lpstr>
      <vt:lpstr/>
      <vt:lpstr/>
      <vt:lpstr>A new design</vt:lpstr>
      <vt:lpstr/>
      <vt:lpstr>A team of physicists and engineers designed a new version of the vacuum line tha</vt:lpstr>
      <vt:lpstr/>
      <vt:lpstr>The new vacuum line radius increases in three steps along the beamline, see Figu</vt:lpstr>
      <vt:lpstr/>
      <vt:lpstr>Table 2. shows the radii and thicknesses of the new design.</vt:lpstr>
      <vt:lpstr/>
      <vt:lpstr/>
      <vt:lpstr/>
      <vt:lpstr/>
      <vt:lpstr/>
      <vt:lpstr/>
      <vt:lpstr/>
      <vt:lpstr/>
      <vt:lpstr/>
      <vt:lpstr>New results</vt:lpstr>
      <vt:lpstr/>
      <vt:lpstr>New simulations were performed as the new vacuum line was being finalized. The  </vt:lpstr>
      <vt:lpstr/>
      <vt:lpstr/>
      <vt:lpstr/>
      <vt:lpstr/>
      <vt:lpstr>/ /</vt:lpstr>
      <vt:lpstr/>
      <vt:lpstr>Figure 6: Results of the new design simulation. Left: the drift chamber occupanc</vt:lpstr>
      <vt:lpstr/>
      <vt:lpstr/>
      <vt:lpstr>Conclusions</vt:lpstr>
      <vt:lpstr>References</vt:lpstr>
    </vt:vector>
  </TitlesOfParts>
  <Company>INFN</Company>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De Vita</dc:creator>
  <cp:keywords/>
  <dc:description/>
  <cp:lastModifiedBy>Maurizio Ungaro</cp:lastModifiedBy>
  <cp:revision>104</cp:revision>
  <cp:lastPrinted>2016-10-13T23:54:00Z</cp:lastPrinted>
  <dcterms:created xsi:type="dcterms:W3CDTF">2016-10-13T23:54:00Z</dcterms:created>
  <dcterms:modified xsi:type="dcterms:W3CDTF">2017-11-16T14:53:00Z</dcterms:modified>
</cp:coreProperties>
</file>