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05380FB3" w:rsidR="001A6287" w:rsidRPr="000916A1" w:rsidRDefault="003D549E" w:rsidP="001D26E1">
      <w:pPr>
        <w:jc w:val="center"/>
        <w:rPr>
          <w:sz w:val="36"/>
          <w:szCs w:val="36"/>
        </w:rPr>
      </w:pPr>
      <w:r>
        <w:rPr>
          <w:sz w:val="36"/>
          <w:szCs w:val="36"/>
        </w:rPr>
        <w:t>Hall B Open House 2024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6FB6DF5E" w14:textId="77777777" w:rsidR="00DD58B5" w:rsidRDefault="00DD58B5" w:rsidP="008D0722">
      <w:pPr>
        <w:jc w:val="center"/>
        <w:rPr>
          <w:i/>
        </w:rPr>
      </w:pPr>
    </w:p>
    <w:p w14:paraId="55A40352" w14:textId="77777777" w:rsidR="00DD58B5" w:rsidRDefault="00DD58B5" w:rsidP="008D0722">
      <w:pPr>
        <w:jc w:val="center"/>
        <w:rPr>
          <w:i/>
        </w:rPr>
      </w:pPr>
    </w:p>
    <w:p w14:paraId="10204978" w14:textId="77777777" w:rsidR="00DD58B5" w:rsidRDefault="00DD58B5" w:rsidP="008D0722">
      <w:pPr>
        <w:jc w:val="center"/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Pr="008D0722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308FCED4" w14:textId="77777777" w:rsidR="00CF5A33" w:rsidRDefault="00CF5A33" w:rsidP="00324C0C">
      <w:pPr>
        <w:jc w:val="both"/>
      </w:pPr>
    </w:p>
    <w:p w14:paraId="7BF3C59F" w14:textId="4845282A" w:rsidR="008418AB" w:rsidRDefault="008418AB" w:rsidP="00324C0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t xml:space="preserve">Simulations of beam-related background were performed </w:t>
      </w:r>
      <w:r w:rsidR="00F04DD4" w:rsidRPr="00FE10C1">
        <w:rPr>
          <w:sz w:val="22"/>
          <w:szCs w:val="22"/>
        </w:rPr>
        <w:t xml:space="preserve">for </w:t>
      </w:r>
      <w:r w:rsidR="00C15D43" w:rsidRPr="00FE10C1">
        <w:rPr>
          <w:sz w:val="22"/>
          <w:szCs w:val="22"/>
        </w:rPr>
        <w:t xml:space="preserve">several </w:t>
      </w:r>
      <w:r w:rsidR="00E12DA2" w:rsidRPr="00FE10C1">
        <w:rPr>
          <w:sz w:val="22"/>
          <w:szCs w:val="22"/>
        </w:rPr>
        <w:t xml:space="preserve">thicknesses of </w:t>
      </w:r>
      <w:r w:rsidR="00D4666A" w:rsidRPr="00FE10C1">
        <w:rPr>
          <w:sz w:val="22"/>
          <w:szCs w:val="22"/>
        </w:rPr>
        <w:t>tungsten</w:t>
      </w:r>
      <w:r w:rsidR="00C15D43" w:rsidRPr="00FE10C1">
        <w:rPr>
          <w:sz w:val="22"/>
          <w:szCs w:val="22"/>
        </w:rPr>
        <w:t xml:space="preserve"> </w:t>
      </w:r>
      <w:r w:rsidR="00930AAF" w:rsidRPr="00FE10C1">
        <w:rPr>
          <w:sz w:val="22"/>
          <w:szCs w:val="22"/>
        </w:rPr>
        <w:t>shiel</w:t>
      </w:r>
      <w:r w:rsidR="00C15D43" w:rsidRPr="00FE10C1">
        <w:rPr>
          <w:sz w:val="22"/>
          <w:szCs w:val="22"/>
        </w:rPr>
        <w:t>ding cylinders around</w:t>
      </w:r>
      <w:r w:rsidR="00F76AE5" w:rsidRPr="00FE10C1">
        <w:rPr>
          <w:sz w:val="22"/>
          <w:szCs w:val="22"/>
        </w:rPr>
        <w:t xml:space="preserve"> </w:t>
      </w:r>
      <w:r w:rsidR="00C15D43" w:rsidRPr="00FE10C1">
        <w:rPr>
          <w:sz w:val="22"/>
          <w:szCs w:val="22"/>
        </w:rPr>
        <w:t xml:space="preserve">the </w:t>
      </w:r>
      <w:r w:rsidR="00F76AE5" w:rsidRPr="00FE10C1">
        <w:rPr>
          <w:sz w:val="22"/>
          <w:szCs w:val="22"/>
        </w:rPr>
        <w:t>CLAS12</w:t>
      </w:r>
      <w:r w:rsidR="00E12DA2" w:rsidRPr="00FE10C1">
        <w:rPr>
          <w:sz w:val="22"/>
          <w:szCs w:val="22"/>
        </w:rPr>
        <w:t xml:space="preserve"> target</w:t>
      </w:r>
      <w:r w:rsidR="00F76AE5" w:rsidRPr="00FE10C1">
        <w:rPr>
          <w:sz w:val="22"/>
          <w:szCs w:val="22"/>
        </w:rPr>
        <w:t>.</w:t>
      </w:r>
      <w:r w:rsidR="0024080F" w:rsidRPr="00FE10C1">
        <w:rPr>
          <w:sz w:val="22"/>
          <w:szCs w:val="22"/>
        </w:rPr>
        <w:t xml:space="preserve"> </w:t>
      </w:r>
      <w:r w:rsidR="00930AAF" w:rsidRPr="00FE10C1">
        <w:rPr>
          <w:sz w:val="22"/>
          <w:szCs w:val="22"/>
        </w:rPr>
        <w:t>R</w:t>
      </w:r>
      <w:r w:rsidR="00F76AE5" w:rsidRPr="00FE10C1">
        <w:rPr>
          <w:sz w:val="22"/>
          <w:szCs w:val="22"/>
        </w:rPr>
        <w:t>ates</w:t>
      </w:r>
      <w:r w:rsidR="00BD6EFA" w:rsidRPr="00FE10C1">
        <w:rPr>
          <w:sz w:val="22"/>
          <w:szCs w:val="22"/>
        </w:rPr>
        <w:t xml:space="preserve">, fluences, </w:t>
      </w:r>
      <w:r w:rsidR="00930AAF" w:rsidRPr="00FE10C1">
        <w:rPr>
          <w:sz w:val="22"/>
          <w:szCs w:val="22"/>
        </w:rPr>
        <w:t>radiation doses</w:t>
      </w:r>
      <w:r w:rsidR="00F76AE5" w:rsidRPr="00FE10C1">
        <w:rPr>
          <w:sz w:val="22"/>
          <w:szCs w:val="22"/>
        </w:rPr>
        <w:t xml:space="preserve"> </w:t>
      </w:r>
      <w:r w:rsidR="00BD6EFA" w:rsidRPr="00FE10C1">
        <w:rPr>
          <w:sz w:val="22"/>
          <w:szCs w:val="22"/>
        </w:rPr>
        <w:t xml:space="preserve">and 1 MeV neutron </w:t>
      </w:r>
      <w:r w:rsidR="00F73BAA" w:rsidRPr="00FE10C1">
        <w:rPr>
          <w:sz w:val="22"/>
          <w:szCs w:val="22"/>
        </w:rPr>
        <w:t>damage</w:t>
      </w:r>
      <w:r w:rsidR="00BD6EFA" w:rsidRPr="00FE10C1">
        <w:rPr>
          <w:sz w:val="22"/>
          <w:szCs w:val="22"/>
        </w:rPr>
        <w:t xml:space="preserve"> rates </w:t>
      </w:r>
      <w:r w:rsidR="00F76AE5" w:rsidRPr="00FE10C1">
        <w:rPr>
          <w:sz w:val="22"/>
          <w:szCs w:val="22"/>
        </w:rPr>
        <w:t>in</w:t>
      </w:r>
      <w:r w:rsidR="00930AAF" w:rsidRPr="00FE10C1">
        <w:rPr>
          <w:sz w:val="22"/>
          <w:szCs w:val="22"/>
        </w:rPr>
        <w:t xml:space="preserve"> the Barrel Silicon Tracker (BST) were calculated</w:t>
      </w:r>
      <w:r w:rsidR="00883A40" w:rsidRPr="00FE10C1">
        <w:rPr>
          <w:sz w:val="22"/>
          <w:szCs w:val="22"/>
        </w:rPr>
        <w:t>.</w:t>
      </w:r>
      <w:r w:rsidR="00DC3473" w:rsidRPr="00FE10C1">
        <w:rPr>
          <w:sz w:val="22"/>
          <w:szCs w:val="22"/>
        </w:rPr>
        <w:t xml:space="preserve"> The geometry includes the latest en</w:t>
      </w:r>
      <w:r w:rsidR="00154F36" w:rsidRPr="00FE10C1">
        <w:rPr>
          <w:sz w:val="22"/>
          <w:szCs w:val="22"/>
        </w:rPr>
        <w:t>gineering models of the target and the clas12 solenoid magnetic field at full strength.</w:t>
      </w:r>
      <w:r w:rsidR="0072683D" w:rsidRPr="00FE10C1">
        <w:rPr>
          <w:sz w:val="22"/>
          <w:szCs w:val="22"/>
        </w:rPr>
        <w:t xml:space="preserve"> The rates are also compared to calculations made in 2008-2012 for various BST hardware reviews.</w:t>
      </w:r>
      <w:r w:rsidR="00553366">
        <w:rPr>
          <w:sz w:val="22"/>
          <w:szCs w:val="22"/>
        </w:rPr>
        <w:t xml:space="preserve"> </w:t>
      </w:r>
      <w:r w:rsidR="008C1CCA">
        <w:rPr>
          <w:sz w:val="22"/>
          <w:szCs w:val="22"/>
        </w:rPr>
        <w:t xml:space="preserve">Tracker performance with shieling was simulated. </w:t>
      </w:r>
      <w:r w:rsidR="00553366">
        <w:rPr>
          <w:sz w:val="22"/>
          <w:szCs w:val="22"/>
        </w:rPr>
        <w:t>Simulated rates are compared with experimental data</w:t>
      </w:r>
      <w:r w:rsidR="00486067">
        <w:rPr>
          <w:sz w:val="22"/>
          <w:szCs w:val="22"/>
        </w:rPr>
        <w:t xml:space="preserve"> after the tungsten shield has been installed</w:t>
      </w:r>
      <w:r w:rsidR="00553366">
        <w:rPr>
          <w:sz w:val="22"/>
          <w:szCs w:val="22"/>
        </w:rPr>
        <w:t>.</w:t>
      </w:r>
    </w:p>
    <w:p w14:paraId="2022A11C" w14:textId="77777777" w:rsidR="00907DED" w:rsidRPr="00FE10C1" w:rsidRDefault="00907DED" w:rsidP="00324C0C">
      <w:pPr>
        <w:jc w:val="both"/>
        <w:rPr>
          <w:sz w:val="22"/>
          <w:szCs w:val="22"/>
        </w:rPr>
      </w:pPr>
    </w:p>
    <w:p w14:paraId="6FF42360" w14:textId="77777777" w:rsidR="00C50004" w:rsidRDefault="00C50004"/>
    <w:p w14:paraId="03FE1822" w14:textId="422866D0" w:rsidR="00C50004" w:rsidRPr="00F130E7" w:rsidRDefault="009B4BFD" w:rsidP="005758E8">
      <w:pPr>
        <w:outlineLvl w:val="0"/>
        <w:rPr>
          <w:b/>
          <w:sz w:val="28"/>
        </w:rPr>
      </w:pPr>
      <w:r>
        <w:rPr>
          <w:b/>
          <w:sz w:val="28"/>
        </w:rPr>
        <w:t>Simulated Detector, Beam and Target C</w:t>
      </w:r>
      <w:r w:rsidR="004A1F89">
        <w:rPr>
          <w:b/>
          <w:sz w:val="28"/>
        </w:rPr>
        <w:t>onfiguration</w:t>
      </w:r>
    </w:p>
    <w:p w14:paraId="024FB495" w14:textId="77777777" w:rsidR="00324BAD" w:rsidRDefault="00324BAD" w:rsidP="004D314A">
      <w:pPr>
        <w:jc w:val="both"/>
      </w:pPr>
    </w:p>
    <w:p w14:paraId="479B422B" w14:textId="59F670A0" w:rsidR="00317E39" w:rsidRPr="00FE10C1" w:rsidRDefault="003C72CF" w:rsidP="002250C6">
      <w:pPr>
        <w:rPr>
          <w:sz w:val="22"/>
          <w:szCs w:val="22"/>
        </w:rPr>
      </w:pPr>
      <w:hyperlink r:id="rId7" w:history="1">
        <w:r w:rsidR="00AB44C0" w:rsidRPr="003C72CF">
          <w:rPr>
            <w:rStyle w:val="Hyperlink"/>
            <w:sz w:val="22"/>
            <w:szCs w:val="22"/>
          </w:rPr>
          <w:t>Open House Website</w:t>
        </w:r>
      </w:hyperlink>
    </w:p>
    <w:p w14:paraId="52A10680" w14:textId="068341CF" w:rsidR="00BB418B" w:rsidRDefault="00BB418B" w:rsidP="0058697E">
      <w:pPr>
        <w:outlineLvl w:val="0"/>
        <w:rPr>
          <w:b/>
          <w:sz w:val="28"/>
        </w:rPr>
      </w:pPr>
    </w:p>
    <w:p w14:paraId="4FAE6534" w14:textId="77777777" w:rsidR="00AB44C0" w:rsidRDefault="00AB44C0" w:rsidP="0058697E">
      <w:pPr>
        <w:outlineLvl w:val="0"/>
        <w:rPr>
          <w:b/>
          <w:sz w:val="28"/>
        </w:rPr>
      </w:pPr>
    </w:p>
    <w:p w14:paraId="2F5BE324" w14:textId="77777777" w:rsidR="00AB44C0" w:rsidRDefault="00AB44C0" w:rsidP="0058697E">
      <w:pPr>
        <w:outlineLvl w:val="0"/>
        <w:rPr>
          <w:b/>
          <w:sz w:val="28"/>
        </w:rPr>
      </w:pPr>
    </w:p>
    <w:p w14:paraId="03E701EA" w14:textId="77777777" w:rsidR="00AB44C0" w:rsidRDefault="00AB44C0" w:rsidP="0058697E">
      <w:pPr>
        <w:outlineLvl w:val="0"/>
        <w:rPr>
          <w:b/>
          <w:sz w:val="28"/>
        </w:rPr>
      </w:pPr>
    </w:p>
    <w:p w14:paraId="008DDDC9" w14:textId="05240E7E" w:rsidR="0058697E" w:rsidRPr="00F130E7" w:rsidRDefault="0058697E" w:rsidP="0058697E">
      <w:pPr>
        <w:outlineLvl w:val="0"/>
        <w:rPr>
          <w:b/>
          <w:sz w:val="28"/>
        </w:rPr>
      </w:pPr>
      <w:r>
        <w:rPr>
          <w:b/>
          <w:sz w:val="28"/>
        </w:rPr>
        <w:t>Conclusions</w:t>
      </w:r>
    </w:p>
    <w:p w14:paraId="446AE7CD" w14:textId="77777777" w:rsidR="0058697E" w:rsidRDefault="0058697E" w:rsidP="003F398C">
      <w:pPr>
        <w:jc w:val="both"/>
        <w:rPr>
          <w:i/>
          <w:sz w:val="22"/>
        </w:rPr>
      </w:pPr>
    </w:p>
    <w:p w14:paraId="32509DF5" w14:textId="6BD39F47" w:rsidR="00FF1409" w:rsidRPr="00FE10C1" w:rsidRDefault="008435AB" w:rsidP="003F398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t>Both the rates and the radiation damage</w:t>
      </w:r>
      <w:r w:rsidR="00E006D4" w:rsidRPr="00FE10C1">
        <w:rPr>
          <w:sz w:val="22"/>
          <w:szCs w:val="22"/>
        </w:rPr>
        <w:t xml:space="preserve"> benefit from 5</w:t>
      </w:r>
      <w:r w:rsidR="00BB666F">
        <w:rPr>
          <w:sz w:val="22"/>
          <w:szCs w:val="22"/>
        </w:rPr>
        <w:t>1</w:t>
      </w:r>
      <w:r w:rsidR="00E006D4" w:rsidRPr="00FE10C1">
        <w:rPr>
          <w:sz w:val="22"/>
          <w:szCs w:val="22"/>
        </w:rPr>
        <w:t xml:space="preserve"> </w:t>
      </w:r>
      <w:r w:rsidRPr="00FE10C1">
        <w:rPr>
          <w:sz w:val="22"/>
          <w:szCs w:val="22"/>
        </w:rPr>
        <w:t xml:space="preserve">microns of </w:t>
      </w:r>
      <w:r w:rsidR="00D4666A" w:rsidRPr="00FE10C1">
        <w:rPr>
          <w:sz w:val="22"/>
          <w:szCs w:val="22"/>
        </w:rPr>
        <w:t>tungsten</w:t>
      </w:r>
      <w:r w:rsidRPr="00FE10C1">
        <w:rPr>
          <w:sz w:val="22"/>
          <w:szCs w:val="22"/>
        </w:rPr>
        <w:t xml:space="preserve"> </w:t>
      </w:r>
      <w:r w:rsidR="00CB34B4" w:rsidRPr="00FE10C1">
        <w:rPr>
          <w:sz w:val="22"/>
          <w:szCs w:val="22"/>
        </w:rPr>
        <w:t xml:space="preserve">shield </w:t>
      </w:r>
      <w:r w:rsidRPr="00FE10C1">
        <w:rPr>
          <w:sz w:val="22"/>
          <w:szCs w:val="22"/>
        </w:rPr>
        <w:t xml:space="preserve">around the CLAS12 scattering chambers. There </w:t>
      </w:r>
      <w:r w:rsidR="00BB666F">
        <w:rPr>
          <w:sz w:val="22"/>
          <w:szCs w:val="22"/>
        </w:rPr>
        <w:t>is</w:t>
      </w:r>
      <w:r w:rsidRPr="00FE10C1">
        <w:rPr>
          <w:sz w:val="22"/>
          <w:szCs w:val="22"/>
        </w:rPr>
        <w:t xml:space="preserve"> no benefit in additional thicknesses.</w:t>
      </w:r>
      <w:r w:rsidR="00CB34B4" w:rsidRPr="00FE10C1">
        <w:rPr>
          <w:sz w:val="22"/>
          <w:szCs w:val="22"/>
        </w:rPr>
        <w:t xml:space="preserve"> </w:t>
      </w:r>
      <w:r w:rsidR="00FF1409" w:rsidRPr="00FE10C1">
        <w:rPr>
          <w:sz w:val="22"/>
          <w:szCs w:val="22"/>
        </w:rPr>
        <w:t xml:space="preserve">The rates have been compared with </w:t>
      </w:r>
      <w:r w:rsidR="00473063" w:rsidRPr="00FE10C1">
        <w:rPr>
          <w:sz w:val="22"/>
          <w:szCs w:val="22"/>
        </w:rPr>
        <w:t>physics</w:t>
      </w:r>
      <w:r w:rsidR="00FF1409" w:rsidRPr="00FE10C1">
        <w:rPr>
          <w:sz w:val="22"/>
          <w:szCs w:val="22"/>
        </w:rPr>
        <w:t xml:space="preserve"> run data at several beam </w:t>
      </w:r>
      <w:r w:rsidR="00516541" w:rsidRPr="00FE10C1">
        <w:rPr>
          <w:sz w:val="22"/>
          <w:szCs w:val="22"/>
        </w:rPr>
        <w:t>currents</w:t>
      </w:r>
      <w:r w:rsidR="00FF1409" w:rsidRPr="00FE10C1">
        <w:rPr>
          <w:sz w:val="22"/>
          <w:szCs w:val="22"/>
        </w:rPr>
        <w:t xml:space="preserve">. There is </w:t>
      </w:r>
      <w:r w:rsidR="00473063" w:rsidRPr="00FE10C1">
        <w:rPr>
          <w:sz w:val="22"/>
          <w:szCs w:val="22"/>
        </w:rPr>
        <w:t>a good agreement</w:t>
      </w:r>
      <w:r w:rsidR="00FF1409" w:rsidRPr="00FE10C1">
        <w:rPr>
          <w:sz w:val="22"/>
          <w:szCs w:val="22"/>
        </w:rPr>
        <w:t xml:space="preserve"> between the real and the simulated data.</w:t>
      </w:r>
    </w:p>
    <w:p w14:paraId="280A20F2" w14:textId="77777777" w:rsidR="00043BCF" w:rsidRPr="003F398C" w:rsidRDefault="00043BCF" w:rsidP="003F398C">
      <w:pPr>
        <w:jc w:val="both"/>
        <w:rPr>
          <w:i/>
          <w:sz w:val="22"/>
        </w:rPr>
      </w:pPr>
    </w:p>
    <w:p w14:paraId="2B5CC65C" w14:textId="213280EE" w:rsidR="00BA2415" w:rsidRDefault="00BA2415" w:rsidP="005758E8">
      <w:pPr>
        <w:outlineLvl w:val="0"/>
        <w:rPr>
          <w:b/>
          <w:sz w:val="28"/>
        </w:rPr>
      </w:pPr>
    </w:p>
    <w:p w14:paraId="2988E535" w14:textId="77777777" w:rsidR="00BA2415" w:rsidRDefault="00BA2415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19A20248" w14:textId="67286A6A" w:rsidR="006D6049" w:rsidRPr="00FE10C1" w:rsidRDefault="006D6049" w:rsidP="006D6049">
      <w:pPr>
        <w:jc w:val="both"/>
        <w:rPr>
          <w:sz w:val="22"/>
          <w:szCs w:val="22"/>
        </w:rPr>
      </w:pPr>
      <w:r w:rsidRPr="00FE10C1">
        <w:rPr>
          <w:i/>
          <w:sz w:val="22"/>
          <w:szCs w:val="22"/>
        </w:rPr>
        <w:t xml:space="preserve">[1] </w:t>
      </w:r>
      <w:r w:rsidR="008612F1" w:rsidRPr="00FE10C1">
        <w:rPr>
          <w:i/>
          <w:sz w:val="22"/>
          <w:szCs w:val="22"/>
        </w:rPr>
        <w:t xml:space="preserve">R. De Vita and M. Ungaro, </w:t>
      </w:r>
      <w:r w:rsidR="008612F1" w:rsidRPr="00FE10C1">
        <w:rPr>
          <w:b/>
          <w:i/>
          <w:sz w:val="22"/>
          <w:szCs w:val="22"/>
        </w:rPr>
        <w:t>CLAS12-note 2016-006</w:t>
      </w:r>
      <w:r w:rsidR="00795D7A" w:rsidRPr="00FE10C1">
        <w:rPr>
          <w:i/>
          <w:sz w:val="22"/>
          <w:szCs w:val="22"/>
        </w:rPr>
        <w:t>:</w:t>
      </w:r>
      <w:r w:rsidR="008612F1" w:rsidRPr="00FE10C1">
        <w:rPr>
          <w:sz w:val="22"/>
          <w:szCs w:val="22"/>
        </w:rPr>
        <w:t xml:space="preserve"> Moller shield simulations: comparison of the GEMC-optimized layout and the engineering design.</w:t>
      </w:r>
    </w:p>
    <w:p w14:paraId="7F6F7137" w14:textId="77777777" w:rsidR="001969F0" w:rsidRDefault="001969F0" w:rsidP="006D6049">
      <w:pPr>
        <w:jc w:val="both"/>
        <w:rPr>
          <w:i/>
          <w:sz w:val="22"/>
          <w:szCs w:val="22"/>
        </w:rPr>
      </w:pPr>
    </w:p>
    <w:p w14:paraId="773E4FE8" w14:textId="4BA60435" w:rsidR="006D6049" w:rsidRPr="00FE10C1" w:rsidRDefault="00A24B88" w:rsidP="006D6049">
      <w:pPr>
        <w:jc w:val="both"/>
        <w:rPr>
          <w:sz w:val="22"/>
          <w:szCs w:val="22"/>
        </w:rPr>
      </w:pPr>
      <w:r w:rsidRPr="00FE10C1">
        <w:rPr>
          <w:i/>
          <w:sz w:val="22"/>
          <w:szCs w:val="22"/>
        </w:rPr>
        <w:t>[2</w:t>
      </w:r>
      <w:r w:rsidR="006D6049" w:rsidRPr="00FE10C1">
        <w:rPr>
          <w:i/>
          <w:sz w:val="22"/>
          <w:szCs w:val="22"/>
        </w:rPr>
        <w:t xml:space="preserve">] </w:t>
      </w:r>
      <w:r w:rsidR="0023713F" w:rsidRPr="00FE10C1">
        <w:rPr>
          <w:i/>
          <w:sz w:val="22"/>
          <w:szCs w:val="22"/>
        </w:rPr>
        <w:t xml:space="preserve">M. Ungaro, </w:t>
      </w:r>
      <w:r w:rsidR="0023713F" w:rsidRPr="00FE10C1">
        <w:rPr>
          <w:b/>
          <w:i/>
          <w:sz w:val="22"/>
          <w:szCs w:val="22"/>
        </w:rPr>
        <w:t>CLAS12-note 2017-013</w:t>
      </w:r>
      <w:r w:rsidR="006D6049" w:rsidRPr="00FE10C1">
        <w:rPr>
          <w:i/>
          <w:sz w:val="22"/>
          <w:szCs w:val="22"/>
        </w:rPr>
        <w:t>:</w:t>
      </w:r>
      <w:r w:rsidR="006D6049" w:rsidRPr="00FE10C1">
        <w:rPr>
          <w:sz w:val="22"/>
          <w:szCs w:val="22"/>
        </w:rPr>
        <w:t xml:space="preserve"> </w:t>
      </w:r>
      <w:r w:rsidR="0023713F" w:rsidRPr="00FE10C1">
        <w:rPr>
          <w:sz w:val="22"/>
          <w:szCs w:val="22"/>
        </w:rPr>
        <w:t>Corrections to CLAS12 target design</w:t>
      </w:r>
      <w:r w:rsidR="006D6049" w:rsidRPr="00FE10C1">
        <w:rPr>
          <w:sz w:val="22"/>
          <w:szCs w:val="22"/>
        </w:rPr>
        <w:t>.</w:t>
      </w:r>
    </w:p>
    <w:p w14:paraId="4CB30AEE" w14:textId="77777777" w:rsidR="00C27A3F" w:rsidRPr="00FE10C1" w:rsidRDefault="00C27A3F" w:rsidP="008612F1">
      <w:pPr>
        <w:jc w:val="both"/>
        <w:rPr>
          <w:sz w:val="22"/>
          <w:szCs w:val="22"/>
        </w:rPr>
      </w:pPr>
    </w:p>
    <w:p w14:paraId="618CEB0C" w14:textId="715738F9" w:rsidR="008612F1" w:rsidRPr="00FE10C1" w:rsidRDefault="00A24B88" w:rsidP="001969F0">
      <w:pPr>
        <w:jc w:val="both"/>
        <w:rPr>
          <w:sz w:val="22"/>
          <w:szCs w:val="22"/>
        </w:rPr>
      </w:pPr>
      <w:r w:rsidRPr="00FE10C1">
        <w:rPr>
          <w:i/>
          <w:sz w:val="22"/>
          <w:szCs w:val="22"/>
        </w:rPr>
        <w:t>[3</w:t>
      </w:r>
      <w:r w:rsidR="00E137B2" w:rsidRPr="00FE10C1">
        <w:rPr>
          <w:i/>
          <w:sz w:val="22"/>
          <w:szCs w:val="22"/>
        </w:rPr>
        <w:t xml:space="preserve">] R. De Vita, D. S. Carman, C. Smith, S. Stepanyan and M. Ungaro, </w:t>
      </w:r>
      <w:r w:rsidR="00E137B2" w:rsidRPr="00FE10C1">
        <w:rPr>
          <w:b/>
          <w:i/>
          <w:sz w:val="22"/>
          <w:szCs w:val="22"/>
        </w:rPr>
        <w:t>CLAS12-note 2017-016</w:t>
      </w:r>
      <w:r w:rsidR="00E137B2" w:rsidRPr="00FE10C1">
        <w:rPr>
          <w:i/>
          <w:sz w:val="22"/>
          <w:szCs w:val="22"/>
        </w:rPr>
        <w:t>:</w:t>
      </w:r>
      <w:r w:rsidR="00E137B2" w:rsidRPr="00FE10C1">
        <w:rPr>
          <w:sz w:val="22"/>
          <w:szCs w:val="22"/>
        </w:rPr>
        <w:t xml:space="preserve"> Study of the electromagnetic background rates in CLAS12.</w:t>
      </w:r>
    </w:p>
    <w:p w14:paraId="76221E72" w14:textId="77777777" w:rsidR="008612F1" w:rsidRPr="00FE10C1" w:rsidRDefault="008612F1" w:rsidP="008612F1">
      <w:pPr>
        <w:jc w:val="center"/>
        <w:rPr>
          <w:sz w:val="22"/>
          <w:szCs w:val="22"/>
        </w:rPr>
      </w:pPr>
    </w:p>
    <w:p w14:paraId="644CC039" w14:textId="7BC33531" w:rsidR="00D55125" w:rsidRDefault="00D55125" w:rsidP="00D55125">
      <w:pPr>
        <w:jc w:val="both"/>
        <w:rPr>
          <w:sz w:val="22"/>
          <w:szCs w:val="22"/>
        </w:rPr>
      </w:pPr>
      <w:r w:rsidRPr="00FE10C1">
        <w:rPr>
          <w:i/>
          <w:sz w:val="22"/>
          <w:szCs w:val="22"/>
        </w:rPr>
        <w:t xml:space="preserve">[4] </w:t>
      </w:r>
      <w:r w:rsidR="00516541" w:rsidRPr="00FE10C1">
        <w:rPr>
          <w:i/>
          <w:sz w:val="22"/>
          <w:szCs w:val="22"/>
        </w:rPr>
        <w:t>A. Akkerman, J. Barak, M.B. Chadwick</w:t>
      </w:r>
      <w:r w:rsidRPr="00FE10C1">
        <w:rPr>
          <w:i/>
          <w:sz w:val="22"/>
          <w:szCs w:val="22"/>
        </w:rPr>
        <w:t>, J. Le</w:t>
      </w:r>
      <w:r w:rsidR="00516541" w:rsidRPr="00FE10C1">
        <w:rPr>
          <w:i/>
          <w:sz w:val="22"/>
          <w:szCs w:val="22"/>
        </w:rPr>
        <w:t>vinson, M. Murat, Y. Lifshitz</w:t>
      </w:r>
      <w:r w:rsidRPr="00FE10C1">
        <w:rPr>
          <w:i/>
          <w:sz w:val="22"/>
          <w:szCs w:val="22"/>
        </w:rPr>
        <w:t xml:space="preserve">, </w:t>
      </w:r>
      <w:r w:rsidRPr="00FE10C1">
        <w:rPr>
          <w:b/>
          <w:i/>
          <w:sz w:val="22"/>
          <w:szCs w:val="22"/>
        </w:rPr>
        <w:t>Radiation Physics and Chemistry 62 (2001) 301–310</w:t>
      </w:r>
      <w:r w:rsidRPr="00FE10C1">
        <w:rPr>
          <w:i/>
          <w:sz w:val="22"/>
          <w:szCs w:val="22"/>
        </w:rPr>
        <w:t>:</w:t>
      </w:r>
      <w:r w:rsidRPr="00FE10C1">
        <w:rPr>
          <w:sz w:val="22"/>
          <w:szCs w:val="22"/>
        </w:rPr>
        <w:t xml:space="preserve"> Updated NIEL calculations for estimating the damage induced by particles and g-rays in Si and GaAs</w:t>
      </w: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60CD651F" w14:textId="44A30A62" w:rsidR="00B944BB" w:rsidRPr="00FE10C1" w:rsidRDefault="00B944BB" w:rsidP="00D5512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[5]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r w:rsidR="008C021D" w:rsidRPr="008C021D">
        <w:rPr>
          <w:sz w:val="22"/>
          <w:szCs w:val="22"/>
        </w:rPr>
        <w:t>https://github.com/gemc/clas12Tags</w:t>
      </w:r>
      <w:r w:rsidR="008C021D">
        <w:rPr>
          <w:sz w:val="22"/>
          <w:szCs w:val="22"/>
        </w:rPr>
        <w:t>.</w:t>
      </w: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p w14:paraId="75CC4C7F" w14:textId="77777777" w:rsidR="00E3665C" w:rsidRDefault="00E3665C" w:rsidP="00043BCF">
      <w:pPr>
        <w:outlineLvl w:val="0"/>
        <w:rPr>
          <w:b/>
          <w:sz w:val="28"/>
        </w:rPr>
      </w:pPr>
    </w:p>
    <w:p w14:paraId="3D95A229" w14:textId="77777777" w:rsidR="00E3665C" w:rsidRDefault="00E3665C" w:rsidP="00043BCF">
      <w:pPr>
        <w:outlineLvl w:val="0"/>
        <w:rPr>
          <w:b/>
          <w:sz w:val="28"/>
        </w:rPr>
      </w:pPr>
    </w:p>
    <w:p w14:paraId="7512C7DF" w14:textId="77777777" w:rsidR="00E3665C" w:rsidRDefault="00E3665C" w:rsidP="00043BCF">
      <w:pPr>
        <w:outlineLvl w:val="0"/>
        <w:rPr>
          <w:b/>
          <w:sz w:val="28"/>
        </w:rPr>
      </w:pPr>
    </w:p>
    <w:p w14:paraId="1C587D60" w14:textId="77777777" w:rsidR="00E3665C" w:rsidRDefault="00E3665C" w:rsidP="00043BCF">
      <w:pPr>
        <w:outlineLvl w:val="0"/>
        <w:rPr>
          <w:b/>
          <w:sz w:val="28"/>
        </w:rPr>
      </w:pPr>
    </w:p>
    <w:p w14:paraId="559607B9" w14:textId="77777777" w:rsidR="00E3665C" w:rsidRDefault="00E3665C" w:rsidP="00043BCF">
      <w:pPr>
        <w:outlineLvl w:val="0"/>
        <w:rPr>
          <w:b/>
          <w:sz w:val="28"/>
        </w:rPr>
      </w:pPr>
    </w:p>
    <w:p w14:paraId="2FDEE9A6" w14:textId="77777777" w:rsidR="00E3665C" w:rsidRDefault="00E3665C" w:rsidP="00043BCF">
      <w:pPr>
        <w:outlineLvl w:val="0"/>
        <w:rPr>
          <w:b/>
          <w:sz w:val="28"/>
        </w:rPr>
      </w:pPr>
    </w:p>
    <w:p w14:paraId="10DA1B34" w14:textId="77777777" w:rsidR="00E3665C" w:rsidRDefault="00E3665C" w:rsidP="00043BCF">
      <w:pPr>
        <w:outlineLvl w:val="0"/>
        <w:rPr>
          <w:b/>
          <w:sz w:val="28"/>
        </w:rPr>
      </w:pPr>
    </w:p>
    <w:p w14:paraId="61E4E707" w14:textId="77777777" w:rsidR="00E3665C" w:rsidRDefault="00E3665C" w:rsidP="00043BCF">
      <w:pPr>
        <w:outlineLvl w:val="0"/>
        <w:rPr>
          <w:b/>
          <w:sz w:val="28"/>
        </w:rPr>
      </w:pPr>
    </w:p>
    <w:p w14:paraId="346524B4" w14:textId="77777777" w:rsidR="00E3665C" w:rsidRDefault="00E3665C" w:rsidP="00043BCF">
      <w:pPr>
        <w:outlineLvl w:val="0"/>
        <w:rPr>
          <w:b/>
          <w:sz w:val="28"/>
        </w:rPr>
      </w:pPr>
    </w:p>
    <w:p w14:paraId="0D161186" w14:textId="77777777" w:rsidR="00E3665C" w:rsidRDefault="00E3665C" w:rsidP="00043BCF">
      <w:pPr>
        <w:outlineLvl w:val="0"/>
        <w:rPr>
          <w:b/>
          <w:sz w:val="28"/>
        </w:rPr>
      </w:pPr>
    </w:p>
    <w:p w14:paraId="12A01BD0" w14:textId="77777777" w:rsidR="00E3665C" w:rsidRDefault="00E3665C" w:rsidP="00043BCF">
      <w:pPr>
        <w:outlineLvl w:val="0"/>
        <w:rPr>
          <w:b/>
          <w:sz w:val="28"/>
        </w:rPr>
      </w:pPr>
    </w:p>
    <w:p w14:paraId="749194C0" w14:textId="77777777" w:rsidR="00E3665C" w:rsidRDefault="00E3665C" w:rsidP="00043BCF">
      <w:pPr>
        <w:outlineLvl w:val="0"/>
        <w:rPr>
          <w:b/>
          <w:sz w:val="28"/>
        </w:rPr>
      </w:pPr>
    </w:p>
    <w:p w14:paraId="1A18DCC9" w14:textId="77777777" w:rsidR="00E3665C" w:rsidRDefault="00E3665C" w:rsidP="00043BCF">
      <w:pPr>
        <w:outlineLvl w:val="0"/>
        <w:rPr>
          <w:b/>
          <w:sz w:val="28"/>
        </w:rPr>
      </w:pPr>
    </w:p>
    <w:p w14:paraId="52DEA7E2" w14:textId="77777777" w:rsidR="00E3665C" w:rsidRDefault="00E3665C" w:rsidP="00043BCF">
      <w:pPr>
        <w:outlineLvl w:val="0"/>
        <w:rPr>
          <w:b/>
          <w:sz w:val="28"/>
        </w:rPr>
      </w:pPr>
    </w:p>
    <w:p w14:paraId="76192197" w14:textId="77777777" w:rsidR="00E3665C" w:rsidRDefault="00E3665C" w:rsidP="00043BCF">
      <w:pPr>
        <w:outlineLvl w:val="0"/>
        <w:rPr>
          <w:b/>
          <w:sz w:val="28"/>
        </w:rPr>
      </w:pPr>
    </w:p>
    <w:p w14:paraId="24FBEE46" w14:textId="77777777" w:rsidR="00E3665C" w:rsidRDefault="00E3665C" w:rsidP="00043BCF">
      <w:pPr>
        <w:outlineLvl w:val="0"/>
        <w:rPr>
          <w:b/>
          <w:sz w:val="28"/>
        </w:rPr>
      </w:pPr>
    </w:p>
    <w:p w14:paraId="7F7EF598" w14:textId="77777777" w:rsidR="00E3665C" w:rsidRDefault="00E3665C" w:rsidP="00043BCF">
      <w:pPr>
        <w:outlineLvl w:val="0"/>
        <w:rPr>
          <w:b/>
          <w:sz w:val="28"/>
        </w:rPr>
      </w:pPr>
    </w:p>
    <w:p w14:paraId="43028B2D" w14:textId="77777777" w:rsidR="00E3665C" w:rsidRDefault="00E3665C" w:rsidP="00043BCF">
      <w:pPr>
        <w:outlineLvl w:val="0"/>
        <w:rPr>
          <w:b/>
          <w:sz w:val="28"/>
        </w:rPr>
      </w:pPr>
    </w:p>
    <w:p w14:paraId="0E23A9CF" w14:textId="77777777" w:rsidR="00E3665C" w:rsidRDefault="00E3665C" w:rsidP="00043BCF">
      <w:pPr>
        <w:outlineLvl w:val="0"/>
        <w:rPr>
          <w:b/>
          <w:sz w:val="28"/>
        </w:rPr>
      </w:pPr>
    </w:p>
    <w:p w14:paraId="56C72AC2" w14:textId="77777777" w:rsidR="00E3665C" w:rsidRDefault="00043BCF" w:rsidP="00043BCF">
      <w:pPr>
        <w:outlineLvl w:val="0"/>
        <w:rPr>
          <w:b/>
          <w:sz w:val="28"/>
        </w:rPr>
      </w:pPr>
      <w:r>
        <w:rPr>
          <w:b/>
          <w:sz w:val="28"/>
        </w:rPr>
        <w:t>Appendix</w:t>
      </w:r>
      <w:r w:rsidR="008D5B98">
        <w:rPr>
          <w:b/>
          <w:sz w:val="28"/>
        </w:rPr>
        <w:t xml:space="preserve"> A</w:t>
      </w:r>
      <w:r>
        <w:rPr>
          <w:b/>
          <w:sz w:val="28"/>
        </w:rPr>
        <w:t xml:space="preserve"> </w:t>
      </w:r>
      <w:r w:rsidR="008D5B98">
        <w:rPr>
          <w:b/>
          <w:sz w:val="28"/>
        </w:rPr>
        <w:t xml:space="preserve"> </w:t>
      </w:r>
    </w:p>
    <w:p w14:paraId="1EE2E287" w14:textId="05ACF1DC" w:rsidR="00043BCF" w:rsidRPr="00F130E7" w:rsidRDefault="003D549E" w:rsidP="00043BCF">
      <w:pPr>
        <w:outlineLvl w:val="0"/>
        <w:rPr>
          <w:b/>
          <w:sz w:val="28"/>
        </w:rPr>
      </w:pPr>
      <w:r>
        <w:rPr>
          <w:b/>
          <w:sz w:val="28"/>
        </w:rPr>
        <w:t>List of Volunteers</w:t>
      </w:r>
    </w:p>
    <w:p w14:paraId="403D086F" w14:textId="77777777" w:rsidR="007658FF" w:rsidRDefault="007658FF" w:rsidP="007658F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CAFE06E" w14:textId="6C3280B4" w:rsidR="00A271D4" w:rsidRDefault="008D5B98" w:rsidP="00612B60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The volunteer sign</w:t>
      </w:r>
      <w:r w:rsidR="00E3665C">
        <w:rPr>
          <w:sz w:val="22"/>
          <w:szCs w:val="22"/>
        </w:rPr>
        <w:t>-</w:t>
      </w:r>
      <w:r>
        <w:rPr>
          <w:sz w:val="22"/>
          <w:szCs w:val="22"/>
        </w:rPr>
        <w:t>up</w:t>
      </w:r>
      <w:r w:rsidR="00E3665C">
        <w:rPr>
          <w:sz w:val="22"/>
          <w:szCs w:val="22"/>
        </w:rPr>
        <w:t xml:space="preserve"> page is </w:t>
      </w:r>
      <w:hyperlink r:id="rId8" w:history="1">
        <w:r w:rsidR="00E3665C" w:rsidRPr="00E3665C">
          <w:rPr>
            <w:rStyle w:val="Hyperlink"/>
            <w:sz w:val="22"/>
            <w:szCs w:val="22"/>
          </w:rPr>
          <w:t>kept at Jefferson Lab</w:t>
        </w:r>
      </w:hyperlink>
      <w:r w:rsidR="00E3665C">
        <w:rPr>
          <w:sz w:val="22"/>
          <w:szCs w:val="22"/>
        </w:rPr>
        <w:t>. The list of volunteers for Hall-B can be retrieved by applying the filter “</w:t>
      </w:r>
      <w:r w:rsidR="00E3665C" w:rsidRPr="00E3665C">
        <w:rPr>
          <w:sz w:val="22"/>
          <w:szCs w:val="22"/>
        </w:rPr>
        <w:t>Accelerator Site - Hall B</w:t>
      </w:r>
      <w:r w:rsidR="00E3665C">
        <w:rPr>
          <w:sz w:val="22"/>
          <w:szCs w:val="22"/>
        </w:rPr>
        <w:t>” and is shown below.</w:t>
      </w:r>
    </w:p>
    <w:p w14:paraId="1350F427" w14:textId="77777777" w:rsidR="00E3665C" w:rsidRDefault="00E3665C" w:rsidP="00612B60">
      <w:pPr>
        <w:shd w:val="clear" w:color="auto" w:fill="FFFFFF"/>
        <w:rPr>
          <w:sz w:val="22"/>
          <w:szCs w:val="22"/>
        </w:rPr>
      </w:pPr>
    </w:p>
    <w:tbl>
      <w:tblPr>
        <w:tblW w:w="3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930"/>
      </w:tblGrid>
      <w:tr w:rsidR="00E3665C" w:rsidRPr="00E3665C" w14:paraId="769266A2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AD1F0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Bravo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4B5DB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Cameron</w:t>
            </w:r>
          </w:p>
        </w:tc>
      </w:tr>
      <w:tr w:rsidR="00E3665C" w:rsidRPr="00E3665C" w14:paraId="78C12DC4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859EC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Carman</w:t>
            </w:r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EA35A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Daniel</w:t>
            </w:r>
          </w:p>
        </w:tc>
      </w:tr>
      <w:tr w:rsidR="00E3665C" w:rsidRPr="00E3665C" w14:paraId="06DAB1AD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5B45C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Cook IV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50683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Morgan</w:t>
            </w:r>
          </w:p>
        </w:tc>
      </w:tr>
      <w:tr w:rsidR="00E3665C" w:rsidRPr="00E3665C" w14:paraId="34007249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EE396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Dilks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DABA4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Christopher</w:t>
            </w:r>
          </w:p>
        </w:tc>
      </w:tr>
      <w:tr w:rsidR="00E3665C" w:rsidRPr="00E3665C" w14:paraId="0932E783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D3BC8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Gaiser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B124B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Sarah</w:t>
            </w:r>
          </w:p>
        </w:tc>
      </w:tr>
      <w:tr w:rsidR="00E3665C" w:rsidRPr="00E3665C" w14:paraId="6CCC07B8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84577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lastRenderedPageBreak/>
              <w:t>Gavalian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D9489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Gagik</w:t>
            </w:r>
          </w:p>
        </w:tc>
      </w:tr>
      <w:tr w:rsidR="00E3665C" w:rsidRPr="00E3665C" w14:paraId="7F98C2D7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1053E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Gotra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30ED7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Yuri</w:t>
            </w:r>
          </w:p>
        </w:tc>
      </w:tr>
      <w:tr w:rsidR="00E3665C" w:rsidRPr="00E3665C" w14:paraId="1FBB44D9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7AAF8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Mealer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69F1E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Calvin</w:t>
            </w:r>
          </w:p>
        </w:tc>
      </w:tr>
      <w:tr w:rsidR="00E3665C" w:rsidRPr="00E3665C" w14:paraId="07CB4ABC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CEC75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Mokeev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8241D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Viktor</w:t>
            </w:r>
          </w:p>
        </w:tc>
      </w:tr>
      <w:tr w:rsidR="00E3665C" w:rsidRPr="00E3665C" w14:paraId="768CB18F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ED5B5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Paremuzyan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93833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Rafayel</w:t>
            </w:r>
            <w:proofErr w:type="spellEnd"/>
          </w:p>
        </w:tc>
      </w:tr>
      <w:tr w:rsidR="00E3665C" w:rsidRPr="00E3665C" w14:paraId="0807C38E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4BB14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Pasyuk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9B8F9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Eugene</w:t>
            </w:r>
          </w:p>
        </w:tc>
      </w:tr>
      <w:tr w:rsidR="00E3665C" w:rsidRPr="00E3665C" w14:paraId="6B4F7656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5E40C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Smith</w:t>
            </w:r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A6273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Cole</w:t>
            </w:r>
          </w:p>
        </w:tc>
      </w:tr>
      <w:tr w:rsidR="00E3665C" w:rsidRPr="00E3665C" w14:paraId="32657CD4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BAFD6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Stepanyan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5827A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Stepan</w:t>
            </w:r>
          </w:p>
        </w:tc>
      </w:tr>
      <w:tr w:rsidR="00E3665C" w:rsidRPr="00E3665C" w14:paraId="4D720EEA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2AAA0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Ungaro</w:t>
            </w:r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8C59F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Maurizio</w:t>
            </w:r>
          </w:p>
        </w:tc>
      </w:tr>
      <w:tr w:rsidR="00E3665C" w:rsidRPr="00E3665C" w14:paraId="2B852F07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3111C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Wrightson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41A72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Erik</w:t>
            </w:r>
          </w:p>
        </w:tc>
      </w:tr>
      <w:tr w:rsidR="00E3665C" w:rsidRPr="00E3665C" w14:paraId="57DA6070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9E9CC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Ziegler</w:t>
            </w:r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B112D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Veronique</w:t>
            </w:r>
          </w:p>
        </w:tc>
      </w:tr>
      <w:tr w:rsidR="00E3665C" w:rsidRPr="00E3665C" w14:paraId="338C107C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2951B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Achenbach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F26A5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Patrick</w:t>
            </w:r>
          </w:p>
        </w:tc>
      </w:tr>
      <w:tr w:rsidR="00E3665C" w:rsidRPr="00E3665C" w14:paraId="3C98F9CC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14110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Baltzell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9B862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Nathan</w:t>
            </w:r>
          </w:p>
        </w:tc>
      </w:tr>
      <w:tr w:rsidR="00E3665C" w:rsidRPr="00E3665C" w14:paraId="15EAFEF5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3E152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Chatagnon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7FB4E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Pierre</w:t>
            </w:r>
          </w:p>
        </w:tc>
      </w:tr>
      <w:tr w:rsidR="00E3665C" w:rsidRPr="00E3665C" w14:paraId="685CF62D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3C23C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De Vita</w:t>
            </w:r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F71B5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Raffaella</w:t>
            </w:r>
          </w:p>
        </w:tc>
      </w:tr>
      <w:tr w:rsidR="00E3665C" w:rsidRPr="00E3665C" w14:paraId="4D2D5A2F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D1385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Gilfoyle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2BE83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Jerry</w:t>
            </w:r>
          </w:p>
        </w:tc>
      </w:tr>
      <w:tr w:rsidR="00E3665C" w:rsidRPr="00E3665C" w14:paraId="20F52674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99FD4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Tumeo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5714B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Brandon</w:t>
            </w:r>
          </w:p>
        </w:tc>
      </w:tr>
      <w:tr w:rsidR="00E3665C" w:rsidRPr="00E3665C" w14:paraId="16B9AEF1" w14:textId="77777777" w:rsidTr="00E3665C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0EF87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Tyson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20182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Richard</w:t>
            </w:r>
          </w:p>
        </w:tc>
      </w:tr>
      <w:tr w:rsidR="00E3665C" w:rsidRPr="00E3665C" w14:paraId="1FE8C755" w14:textId="77777777" w:rsidTr="00E3665C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90500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r w:rsidRPr="00E3665C">
              <w:rPr>
                <w:sz w:val="22"/>
                <w:szCs w:val="22"/>
              </w:rPr>
              <w:t>Wei</w:t>
            </w:r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1CCB4" w14:textId="77777777" w:rsidR="00E3665C" w:rsidRPr="00E3665C" w:rsidRDefault="00E3665C" w:rsidP="00E3665C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E3665C">
              <w:rPr>
                <w:sz w:val="22"/>
                <w:szCs w:val="22"/>
              </w:rPr>
              <w:t>Xiangdong</w:t>
            </w:r>
            <w:proofErr w:type="spellEnd"/>
          </w:p>
        </w:tc>
      </w:tr>
    </w:tbl>
    <w:p w14:paraId="2C209FA6" w14:textId="77777777" w:rsidR="00E3665C" w:rsidRPr="008418AB" w:rsidRDefault="00E3665C" w:rsidP="00612B60">
      <w:pPr>
        <w:shd w:val="clear" w:color="auto" w:fill="FFFFFF"/>
      </w:pPr>
    </w:p>
    <w:sectPr w:rsidR="00E3665C" w:rsidRPr="008418AB" w:rsidSect="005A7759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D88E4" w14:textId="77777777" w:rsidR="005D2E42" w:rsidRDefault="005D2E42" w:rsidP="0058116A">
      <w:r>
        <w:separator/>
      </w:r>
    </w:p>
  </w:endnote>
  <w:endnote w:type="continuationSeparator" w:id="0">
    <w:p w14:paraId="289FA670" w14:textId="77777777" w:rsidR="005D2E42" w:rsidRDefault="005D2E42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E0A87" w14:textId="77777777" w:rsidR="005D2E42" w:rsidRDefault="005D2E42" w:rsidP="0058116A">
      <w:r>
        <w:separator/>
      </w:r>
    </w:p>
  </w:footnote>
  <w:footnote w:type="continuationSeparator" w:id="0">
    <w:p w14:paraId="00CDE086" w14:textId="77777777" w:rsidR="005D2E42" w:rsidRDefault="005D2E42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1896">
    <w:abstractNumId w:val="4"/>
  </w:num>
  <w:num w:numId="2" w16cid:durableId="1984456550">
    <w:abstractNumId w:val="8"/>
  </w:num>
  <w:num w:numId="3" w16cid:durableId="2136289001">
    <w:abstractNumId w:val="1"/>
  </w:num>
  <w:num w:numId="4" w16cid:durableId="443616463">
    <w:abstractNumId w:val="5"/>
  </w:num>
  <w:num w:numId="5" w16cid:durableId="1946111778">
    <w:abstractNumId w:val="3"/>
  </w:num>
  <w:num w:numId="6" w16cid:durableId="783111326">
    <w:abstractNumId w:val="10"/>
  </w:num>
  <w:num w:numId="7" w16cid:durableId="1160652589">
    <w:abstractNumId w:val="11"/>
  </w:num>
  <w:num w:numId="8" w16cid:durableId="993801301">
    <w:abstractNumId w:val="2"/>
  </w:num>
  <w:num w:numId="9" w16cid:durableId="1192108723">
    <w:abstractNumId w:val="0"/>
  </w:num>
  <w:num w:numId="10" w16cid:durableId="38284840">
    <w:abstractNumId w:val="6"/>
  </w:num>
  <w:num w:numId="11" w16cid:durableId="1119683015">
    <w:abstractNumId w:val="7"/>
  </w:num>
  <w:num w:numId="12" w16cid:durableId="1960909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C6"/>
    <w:rsid w:val="00000CC8"/>
    <w:rsid w:val="00000F41"/>
    <w:rsid w:val="0000596F"/>
    <w:rsid w:val="00010258"/>
    <w:rsid w:val="00025421"/>
    <w:rsid w:val="00027A6E"/>
    <w:rsid w:val="00031075"/>
    <w:rsid w:val="00043BCF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80E88"/>
    <w:rsid w:val="000916A1"/>
    <w:rsid w:val="0009337B"/>
    <w:rsid w:val="00094B58"/>
    <w:rsid w:val="00095721"/>
    <w:rsid w:val="000A589B"/>
    <w:rsid w:val="000B1D08"/>
    <w:rsid w:val="000C613E"/>
    <w:rsid w:val="000C6260"/>
    <w:rsid w:val="000C660B"/>
    <w:rsid w:val="000D282B"/>
    <w:rsid w:val="000D4201"/>
    <w:rsid w:val="000E0329"/>
    <w:rsid w:val="000E1D33"/>
    <w:rsid w:val="000E4F66"/>
    <w:rsid w:val="000E6C60"/>
    <w:rsid w:val="000F0F68"/>
    <w:rsid w:val="000F7E4C"/>
    <w:rsid w:val="001022E8"/>
    <w:rsid w:val="00103B11"/>
    <w:rsid w:val="00104745"/>
    <w:rsid w:val="001117E3"/>
    <w:rsid w:val="00122C7C"/>
    <w:rsid w:val="001321E5"/>
    <w:rsid w:val="0013314F"/>
    <w:rsid w:val="0013498D"/>
    <w:rsid w:val="00134D62"/>
    <w:rsid w:val="00137558"/>
    <w:rsid w:val="0014198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4DA4"/>
    <w:rsid w:val="00164FA1"/>
    <w:rsid w:val="00165E3C"/>
    <w:rsid w:val="00171337"/>
    <w:rsid w:val="00176403"/>
    <w:rsid w:val="00177A2C"/>
    <w:rsid w:val="00183571"/>
    <w:rsid w:val="00194D49"/>
    <w:rsid w:val="00196481"/>
    <w:rsid w:val="001969F0"/>
    <w:rsid w:val="001A34B0"/>
    <w:rsid w:val="001A4C9B"/>
    <w:rsid w:val="001A5E83"/>
    <w:rsid w:val="001A6287"/>
    <w:rsid w:val="001A67C6"/>
    <w:rsid w:val="001C1A86"/>
    <w:rsid w:val="001C3065"/>
    <w:rsid w:val="001D1E68"/>
    <w:rsid w:val="001D26E1"/>
    <w:rsid w:val="001D50F5"/>
    <w:rsid w:val="001D552E"/>
    <w:rsid w:val="001D7FA8"/>
    <w:rsid w:val="001E2325"/>
    <w:rsid w:val="001E3E26"/>
    <w:rsid w:val="001E707B"/>
    <w:rsid w:val="001F053B"/>
    <w:rsid w:val="00202799"/>
    <w:rsid w:val="00205822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563C6"/>
    <w:rsid w:val="00271A92"/>
    <w:rsid w:val="0027353D"/>
    <w:rsid w:val="00275579"/>
    <w:rsid w:val="00281DBD"/>
    <w:rsid w:val="002958E7"/>
    <w:rsid w:val="002B2717"/>
    <w:rsid w:val="002B3BE8"/>
    <w:rsid w:val="002B71C6"/>
    <w:rsid w:val="002D2789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7E39"/>
    <w:rsid w:val="00324BAD"/>
    <w:rsid w:val="00324C0C"/>
    <w:rsid w:val="00333CFF"/>
    <w:rsid w:val="00336B8B"/>
    <w:rsid w:val="00336CD5"/>
    <w:rsid w:val="00342E09"/>
    <w:rsid w:val="003465B5"/>
    <w:rsid w:val="00351022"/>
    <w:rsid w:val="00361416"/>
    <w:rsid w:val="00364DA9"/>
    <w:rsid w:val="00365840"/>
    <w:rsid w:val="00365D04"/>
    <w:rsid w:val="00365FB9"/>
    <w:rsid w:val="00367590"/>
    <w:rsid w:val="00372BAA"/>
    <w:rsid w:val="00375916"/>
    <w:rsid w:val="00392535"/>
    <w:rsid w:val="00392975"/>
    <w:rsid w:val="003C216A"/>
    <w:rsid w:val="003C28DE"/>
    <w:rsid w:val="003C296C"/>
    <w:rsid w:val="003C447D"/>
    <w:rsid w:val="003C6884"/>
    <w:rsid w:val="003C72CF"/>
    <w:rsid w:val="003C7DF1"/>
    <w:rsid w:val="003D3248"/>
    <w:rsid w:val="003D41F8"/>
    <w:rsid w:val="003D4256"/>
    <w:rsid w:val="003D549E"/>
    <w:rsid w:val="003E39E5"/>
    <w:rsid w:val="003E75B2"/>
    <w:rsid w:val="003F1DE1"/>
    <w:rsid w:val="003F3539"/>
    <w:rsid w:val="003F36FB"/>
    <w:rsid w:val="003F398C"/>
    <w:rsid w:val="003F67C7"/>
    <w:rsid w:val="003F7990"/>
    <w:rsid w:val="00407E85"/>
    <w:rsid w:val="00407EB4"/>
    <w:rsid w:val="00415FF1"/>
    <w:rsid w:val="004333A5"/>
    <w:rsid w:val="00436086"/>
    <w:rsid w:val="00437E79"/>
    <w:rsid w:val="004435AE"/>
    <w:rsid w:val="00451B0F"/>
    <w:rsid w:val="00454D5D"/>
    <w:rsid w:val="00455600"/>
    <w:rsid w:val="0045741D"/>
    <w:rsid w:val="00460591"/>
    <w:rsid w:val="00463694"/>
    <w:rsid w:val="00463B17"/>
    <w:rsid w:val="004650BD"/>
    <w:rsid w:val="00466493"/>
    <w:rsid w:val="00471DE2"/>
    <w:rsid w:val="00472F70"/>
    <w:rsid w:val="00473063"/>
    <w:rsid w:val="004813AA"/>
    <w:rsid w:val="00485A35"/>
    <w:rsid w:val="00486067"/>
    <w:rsid w:val="00497491"/>
    <w:rsid w:val="004A05A4"/>
    <w:rsid w:val="004A1F89"/>
    <w:rsid w:val="004A358B"/>
    <w:rsid w:val="004A43C1"/>
    <w:rsid w:val="004A63A6"/>
    <w:rsid w:val="004B59BF"/>
    <w:rsid w:val="004C01B4"/>
    <w:rsid w:val="004C1F11"/>
    <w:rsid w:val="004D314A"/>
    <w:rsid w:val="004D5116"/>
    <w:rsid w:val="004D5266"/>
    <w:rsid w:val="004E23C6"/>
    <w:rsid w:val="004E7049"/>
    <w:rsid w:val="004E7218"/>
    <w:rsid w:val="004E7C96"/>
    <w:rsid w:val="004E7EB9"/>
    <w:rsid w:val="004F080F"/>
    <w:rsid w:val="004F252F"/>
    <w:rsid w:val="0050451E"/>
    <w:rsid w:val="005045C7"/>
    <w:rsid w:val="00504D5F"/>
    <w:rsid w:val="00511139"/>
    <w:rsid w:val="00515ED8"/>
    <w:rsid w:val="00516541"/>
    <w:rsid w:val="00521131"/>
    <w:rsid w:val="00525115"/>
    <w:rsid w:val="005257E1"/>
    <w:rsid w:val="005405EF"/>
    <w:rsid w:val="0054429D"/>
    <w:rsid w:val="00544313"/>
    <w:rsid w:val="00544EC5"/>
    <w:rsid w:val="0054515F"/>
    <w:rsid w:val="00546849"/>
    <w:rsid w:val="00553366"/>
    <w:rsid w:val="00557238"/>
    <w:rsid w:val="00567BB7"/>
    <w:rsid w:val="0057543B"/>
    <w:rsid w:val="005758E8"/>
    <w:rsid w:val="0057613F"/>
    <w:rsid w:val="0058116A"/>
    <w:rsid w:val="0058275E"/>
    <w:rsid w:val="005846B7"/>
    <w:rsid w:val="0058600B"/>
    <w:rsid w:val="00586166"/>
    <w:rsid w:val="0058697E"/>
    <w:rsid w:val="00592724"/>
    <w:rsid w:val="00592CB5"/>
    <w:rsid w:val="00595304"/>
    <w:rsid w:val="005955B6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E5A75"/>
    <w:rsid w:val="005E5EC3"/>
    <w:rsid w:val="005E731B"/>
    <w:rsid w:val="005F4047"/>
    <w:rsid w:val="00601C8A"/>
    <w:rsid w:val="00602F07"/>
    <w:rsid w:val="006063F7"/>
    <w:rsid w:val="00612B60"/>
    <w:rsid w:val="006204BD"/>
    <w:rsid w:val="006255CD"/>
    <w:rsid w:val="006268A0"/>
    <w:rsid w:val="00627870"/>
    <w:rsid w:val="00630FF1"/>
    <w:rsid w:val="006337AC"/>
    <w:rsid w:val="00634B8F"/>
    <w:rsid w:val="0064140E"/>
    <w:rsid w:val="00645ED8"/>
    <w:rsid w:val="00654055"/>
    <w:rsid w:val="006625BB"/>
    <w:rsid w:val="00666EDC"/>
    <w:rsid w:val="00667C9E"/>
    <w:rsid w:val="00672ADB"/>
    <w:rsid w:val="006819A6"/>
    <w:rsid w:val="006854C7"/>
    <w:rsid w:val="00695B34"/>
    <w:rsid w:val="006A621E"/>
    <w:rsid w:val="006A6356"/>
    <w:rsid w:val="006C4600"/>
    <w:rsid w:val="006C4F17"/>
    <w:rsid w:val="006C66BE"/>
    <w:rsid w:val="006C6C5B"/>
    <w:rsid w:val="006D1954"/>
    <w:rsid w:val="006D1D04"/>
    <w:rsid w:val="006D5B97"/>
    <w:rsid w:val="006D6049"/>
    <w:rsid w:val="006D7F7D"/>
    <w:rsid w:val="006E1A6B"/>
    <w:rsid w:val="006E4119"/>
    <w:rsid w:val="006F3DDD"/>
    <w:rsid w:val="006F6D38"/>
    <w:rsid w:val="007066D8"/>
    <w:rsid w:val="007133C0"/>
    <w:rsid w:val="00721DCD"/>
    <w:rsid w:val="0072683D"/>
    <w:rsid w:val="007309A4"/>
    <w:rsid w:val="00744F78"/>
    <w:rsid w:val="0075039A"/>
    <w:rsid w:val="00751DE8"/>
    <w:rsid w:val="007658FF"/>
    <w:rsid w:val="00767707"/>
    <w:rsid w:val="00776215"/>
    <w:rsid w:val="007805A0"/>
    <w:rsid w:val="007838B3"/>
    <w:rsid w:val="00792652"/>
    <w:rsid w:val="00792A40"/>
    <w:rsid w:val="00795D7A"/>
    <w:rsid w:val="007A23BE"/>
    <w:rsid w:val="007A47AE"/>
    <w:rsid w:val="007A671D"/>
    <w:rsid w:val="007B20B5"/>
    <w:rsid w:val="007B506C"/>
    <w:rsid w:val="007B5C9C"/>
    <w:rsid w:val="007B636F"/>
    <w:rsid w:val="007C376F"/>
    <w:rsid w:val="007C743C"/>
    <w:rsid w:val="007D3F68"/>
    <w:rsid w:val="007D7BB1"/>
    <w:rsid w:val="007E55E2"/>
    <w:rsid w:val="007F1C0F"/>
    <w:rsid w:val="008001CC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51097"/>
    <w:rsid w:val="00852042"/>
    <w:rsid w:val="008520DB"/>
    <w:rsid w:val="00852743"/>
    <w:rsid w:val="00860A0B"/>
    <w:rsid w:val="008612F1"/>
    <w:rsid w:val="008632A2"/>
    <w:rsid w:val="008638A4"/>
    <w:rsid w:val="0086644F"/>
    <w:rsid w:val="008709C5"/>
    <w:rsid w:val="00870DDE"/>
    <w:rsid w:val="00871738"/>
    <w:rsid w:val="008728F7"/>
    <w:rsid w:val="00877975"/>
    <w:rsid w:val="00883A40"/>
    <w:rsid w:val="00887AF0"/>
    <w:rsid w:val="0089260F"/>
    <w:rsid w:val="008A0862"/>
    <w:rsid w:val="008A08B2"/>
    <w:rsid w:val="008A729B"/>
    <w:rsid w:val="008B1D8D"/>
    <w:rsid w:val="008B2755"/>
    <w:rsid w:val="008C021D"/>
    <w:rsid w:val="008C1CCA"/>
    <w:rsid w:val="008D0184"/>
    <w:rsid w:val="008D0722"/>
    <w:rsid w:val="008D362F"/>
    <w:rsid w:val="008D5B98"/>
    <w:rsid w:val="008D72AF"/>
    <w:rsid w:val="008E1568"/>
    <w:rsid w:val="008F1F00"/>
    <w:rsid w:val="009019DB"/>
    <w:rsid w:val="00902812"/>
    <w:rsid w:val="00902EDE"/>
    <w:rsid w:val="00903F2F"/>
    <w:rsid w:val="009054C6"/>
    <w:rsid w:val="00907DED"/>
    <w:rsid w:val="00910176"/>
    <w:rsid w:val="009131F8"/>
    <w:rsid w:val="00917859"/>
    <w:rsid w:val="00921AEF"/>
    <w:rsid w:val="009250ED"/>
    <w:rsid w:val="00930AAF"/>
    <w:rsid w:val="00932F7C"/>
    <w:rsid w:val="009340B7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5156"/>
    <w:rsid w:val="009976DB"/>
    <w:rsid w:val="009A3CEF"/>
    <w:rsid w:val="009A7590"/>
    <w:rsid w:val="009B4BFD"/>
    <w:rsid w:val="009C11F9"/>
    <w:rsid w:val="009C7E37"/>
    <w:rsid w:val="009D7F5F"/>
    <w:rsid w:val="009F1C58"/>
    <w:rsid w:val="009F3780"/>
    <w:rsid w:val="009F5A2B"/>
    <w:rsid w:val="009F6642"/>
    <w:rsid w:val="00A00C2C"/>
    <w:rsid w:val="00A012F1"/>
    <w:rsid w:val="00A04D5B"/>
    <w:rsid w:val="00A06FD9"/>
    <w:rsid w:val="00A22DB4"/>
    <w:rsid w:val="00A24B88"/>
    <w:rsid w:val="00A26669"/>
    <w:rsid w:val="00A271D4"/>
    <w:rsid w:val="00A353AF"/>
    <w:rsid w:val="00A35519"/>
    <w:rsid w:val="00A45809"/>
    <w:rsid w:val="00A56362"/>
    <w:rsid w:val="00A57DEE"/>
    <w:rsid w:val="00A71CB1"/>
    <w:rsid w:val="00A753BC"/>
    <w:rsid w:val="00A77CDB"/>
    <w:rsid w:val="00A84A09"/>
    <w:rsid w:val="00A86CE5"/>
    <w:rsid w:val="00A92B9A"/>
    <w:rsid w:val="00A92E7D"/>
    <w:rsid w:val="00A9787A"/>
    <w:rsid w:val="00AB44C0"/>
    <w:rsid w:val="00AB7BF5"/>
    <w:rsid w:val="00AB7E44"/>
    <w:rsid w:val="00AC2569"/>
    <w:rsid w:val="00AD1D98"/>
    <w:rsid w:val="00AD7DAE"/>
    <w:rsid w:val="00AE0F38"/>
    <w:rsid w:val="00AE1918"/>
    <w:rsid w:val="00AF1C77"/>
    <w:rsid w:val="00AF541A"/>
    <w:rsid w:val="00B03F2C"/>
    <w:rsid w:val="00B06782"/>
    <w:rsid w:val="00B103EE"/>
    <w:rsid w:val="00B13193"/>
    <w:rsid w:val="00B131C9"/>
    <w:rsid w:val="00B139E9"/>
    <w:rsid w:val="00B15F45"/>
    <w:rsid w:val="00B22E31"/>
    <w:rsid w:val="00B23F41"/>
    <w:rsid w:val="00B26FFB"/>
    <w:rsid w:val="00B318CA"/>
    <w:rsid w:val="00B45A71"/>
    <w:rsid w:val="00B47E22"/>
    <w:rsid w:val="00B55E3C"/>
    <w:rsid w:val="00B574F1"/>
    <w:rsid w:val="00B6075C"/>
    <w:rsid w:val="00B614EB"/>
    <w:rsid w:val="00B72252"/>
    <w:rsid w:val="00B728B5"/>
    <w:rsid w:val="00B8213E"/>
    <w:rsid w:val="00B944BB"/>
    <w:rsid w:val="00B95FFA"/>
    <w:rsid w:val="00BA1984"/>
    <w:rsid w:val="00BA2415"/>
    <w:rsid w:val="00BA3FFE"/>
    <w:rsid w:val="00BB418B"/>
    <w:rsid w:val="00BB666F"/>
    <w:rsid w:val="00BB71F9"/>
    <w:rsid w:val="00BC5213"/>
    <w:rsid w:val="00BC5572"/>
    <w:rsid w:val="00BC6E37"/>
    <w:rsid w:val="00BD0BAE"/>
    <w:rsid w:val="00BD6EFA"/>
    <w:rsid w:val="00BE4202"/>
    <w:rsid w:val="00BE47B7"/>
    <w:rsid w:val="00BE4CFA"/>
    <w:rsid w:val="00BE5ED6"/>
    <w:rsid w:val="00BE7F2E"/>
    <w:rsid w:val="00BF26E3"/>
    <w:rsid w:val="00BF4CCB"/>
    <w:rsid w:val="00C02DE8"/>
    <w:rsid w:val="00C02F95"/>
    <w:rsid w:val="00C04803"/>
    <w:rsid w:val="00C050B9"/>
    <w:rsid w:val="00C15D43"/>
    <w:rsid w:val="00C27A3F"/>
    <w:rsid w:val="00C3150E"/>
    <w:rsid w:val="00C319B3"/>
    <w:rsid w:val="00C50004"/>
    <w:rsid w:val="00C543A8"/>
    <w:rsid w:val="00C6043B"/>
    <w:rsid w:val="00C61882"/>
    <w:rsid w:val="00C62A99"/>
    <w:rsid w:val="00C7108E"/>
    <w:rsid w:val="00C720EC"/>
    <w:rsid w:val="00C76AC7"/>
    <w:rsid w:val="00C86D8E"/>
    <w:rsid w:val="00C90164"/>
    <w:rsid w:val="00C911F5"/>
    <w:rsid w:val="00C93934"/>
    <w:rsid w:val="00CA22FC"/>
    <w:rsid w:val="00CB34B4"/>
    <w:rsid w:val="00CC2C3A"/>
    <w:rsid w:val="00CD2F45"/>
    <w:rsid w:val="00CD3F1C"/>
    <w:rsid w:val="00CE0FF0"/>
    <w:rsid w:val="00CE769F"/>
    <w:rsid w:val="00CF5A33"/>
    <w:rsid w:val="00CF7FB3"/>
    <w:rsid w:val="00D02CF1"/>
    <w:rsid w:val="00D145BD"/>
    <w:rsid w:val="00D26AB5"/>
    <w:rsid w:val="00D27150"/>
    <w:rsid w:val="00D34C17"/>
    <w:rsid w:val="00D40EC5"/>
    <w:rsid w:val="00D4138A"/>
    <w:rsid w:val="00D418AF"/>
    <w:rsid w:val="00D4666A"/>
    <w:rsid w:val="00D53D69"/>
    <w:rsid w:val="00D55125"/>
    <w:rsid w:val="00D64E25"/>
    <w:rsid w:val="00D6602A"/>
    <w:rsid w:val="00D67C9D"/>
    <w:rsid w:val="00D75A71"/>
    <w:rsid w:val="00D96E58"/>
    <w:rsid w:val="00D96F01"/>
    <w:rsid w:val="00DA3983"/>
    <w:rsid w:val="00DA4D60"/>
    <w:rsid w:val="00DA5AC7"/>
    <w:rsid w:val="00DA6D90"/>
    <w:rsid w:val="00DB6781"/>
    <w:rsid w:val="00DC3473"/>
    <w:rsid w:val="00DC7C82"/>
    <w:rsid w:val="00DD0914"/>
    <w:rsid w:val="00DD2C37"/>
    <w:rsid w:val="00DD53DC"/>
    <w:rsid w:val="00DD58B5"/>
    <w:rsid w:val="00DE1674"/>
    <w:rsid w:val="00DE5328"/>
    <w:rsid w:val="00DF254B"/>
    <w:rsid w:val="00E006D4"/>
    <w:rsid w:val="00E05D93"/>
    <w:rsid w:val="00E106B0"/>
    <w:rsid w:val="00E12DA2"/>
    <w:rsid w:val="00E137B2"/>
    <w:rsid w:val="00E21E47"/>
    <w:rsid w:val="00E23E57"/>
    <w:rsid w:val="00E24CBB"/>
    <w:rsid w:val="00E315E4"/>
    <w:rsid w:val="00E3426C"/>
    <w:rsid w:val="00E3665C"/>
    <w:rsid w:val="00E549C7"/>
    <w:rsid w:val="00E63568"/>
    <w:rsid w:val="00E671D5"/>
    <w:rsid w:val="00E705FE"/>
    <w:rsid w:val="00E70CFB"/>
    <w:rsid w:val="00E8039F"/>
    <w:rsid w:val="00E84059"/>
    <w:rsid w:val="00E85B37"/>
    <w:rsid w:val="00E87145"/>
    <w:rsid w:val="00E92C62"/>
    <w:rsid w:val="00E95081"/>
    <w:rsid w:val="00E96186"/>
    <w:rsid w:val="00EA0B96"/>
    <w:rsid w:val="00EA2688"/>
    <w:rsid w:val="00EA7A9B"/>
    <w:rsid w:val="00EB068B"/>
    <w:rsid w:val="00EB50E6"/>
    <w:rsid w:val="00EB7B17"/>
    <w:rsid w:val="00EC1CA0"/>
    <w:rsid w:val="00ED1213"/>
    <w:rsid w:val="00EE018D"/>
    <w:rsid w:val="00EF1945"/>
    <w:rsid w:val="00EF64AD"/>
    <w:rsid w:val="00F00391"/>
    <w:rsid w:val="00F0377F"/>
    <w:rsid w:val="00F04B80"/>
    <w:rsid w:val="00F04B8F"/>
    <w:rsid w:val="00F04DD4"/>
    <w:rsid w:val="00F10884"/>
    <w:rsid w:val="00F12D9F"/>
    <w:rsid w:val="00F130E7"/>
    <w:rsid w:val="00F14551"/>
    <w:rsid w:val="00F151C4"/>
    <w:rsid w:val="00F349D0"/>
    <w:rsid w:val="00F42D75"/>
    <w:rsid w:val="00F536FB"/>
    <w:rsid w:val="00F556C7"/>
    <w:rsid w:val="00F558B2"/>
    <w:rsid w:val="00F57332"/>
    <w:rsid w:val="00F60E07"/>
    <w:rsid w:val="00F62DA6"/>
    <w:rsid w:val="00F66DB9"/>
    <w:rsid w:val="00F73BAA"/>
    <w:rsid w:val="00F74A3E"/>
    <w:rsid w:val="00F755E5"/>
    <w:rsid w:val="00F76AE5"/>
    <w:rsid w:val="00F86BDA"/>
    <w:rsid w:val="00F9248D"/>
    <w:rsid w:val="00F933C5"/>
    <w:rsid w:val="00FA11EC"/>
    <w:rsid w:val="00FA3965"/>
    <w:rsid w:val="00FA6998"/>
    <w:rsid w:val="00FB04C1"/>
    <w:rsid w:val="00FB4A60"/>
    <w:rsid w:val="00FB634D"/>
    <w:rsid w:val="00FC42CB"/>
    <w:rsid w:val="00FD3EA7"/>
    <w:rsid w:val="00FD47BB"/>
    <w:rsid w:val="00FD5B79"/>
    <w:rsid w:val="00FD715D"/>
    <w:rsid w:val="00FE10C1"/>
    <w:rsid w:val="00FE3E36"/>
    <w:rsid w:val="00FE7836"/>
    <w:rsid w:val="00FF1409"/>
    <w:rsid w:val="00FF174A"/>
    <w:rsid w:val="00FF2992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3F4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portal.jlab.org/webTools/jlab_events/2024_open_house/volunteer_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lab.org/openhou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362</cp:revision>
  <cp:lastPrinted>2018-04-18T18:27:00Z</cp:lastPrinted>
  <dcterms:created xsi:type="dcterms:W3CDTF">2016-10-14T05:54:00Z</dcterms:created>
  <dcterms:modified xsi:type="dcterms:W3CDTF">2024-09-16T12:51:00Z</dcterms:modified>
</cp:coreProperties>
</file>