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EAB038" w14:textId="77777777" w:rsidR="007C419E" w:rsidRDefault="007C419E">
      <w:pPr>
        <w:spacing w:before="0" w:after="0" w:line="40" w:lineRule="exact"/>
        <w:rPr>
          <w:sz w:val="4"/>
          <w:szCs w:val="4"/>
        </w:rPr>
      </w:pPr>
    </w:p>
    <w:tbl>
      <w:tblPr>
        <w:tblStyle w:val="a"/>
        <w:tblW w:w="10422"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6511"/>
        <w:gridCol w:w="3911"/>
      </w:tblGrid>
      <w:tr w:rsidR="007C419E" w14:paraId="6DB3121D" w14:textId="77777777">
        <w:trPr>
          <w:trHeight w:val="10700" w:hRule="exact"/>
          <w:jc w:val="center"/>
        </w:trPr>
        <w:tc>
          <w:tcPr>
            <w:tcW w:w="10422" w:type="dxa"/>
            <w:gridSpan w:val="2"/>
            <w:vAlign w:val="bottom"/>
          </w:tcPr>
          <w:p w14:paraId="2C770978" w14:textId="6E48BAAF" w:rsidR="007C419E" w:rsidRDefault="00B53E34">
            <w:pPr>
              <w:pStyle w:val="Title"/>
              <w:pBdr>
                <w:top w:val="nil"/>
                <w:left w:val="nil"/>
                <w:bottom w:val="nil"/>
                <w:right w:val="nil"/>
                <w:between w:val="nil"/>
              </w:pBdr>
              <w:spacing w:after="600"/>
              <w:rPr>
                <w:i/>
                <w:iCs/>
              </w:rPr>
            </w:pPr>
            <w:r>
              <w:t>Causal Design Report Template</w:t>
            </w:r>
          </w:p>
        </w:tc>
      </w:tr>
      <w:tr w:rsidR="007C419E" w14:paraId="38FC3F6E" w14:textId="77777777">
        <w:trPr>
          <w:trHeight w:val="1450" w:hRule="exact"/>
          <w:jc w:val="center"/>
        </w:trPr>
        <w:tc>
          <w:tcPr>
            <w:tcW w:w="10422" w:type="dxa"/>
            <w:gridSpan w:val="2"/>
            <w:vAlign w:val="bottom"/>
          </w:tcPr>
          <w:p w14:paraId="4541573D" w14:textId="77777777" w:rsidR="007C419E" w:rsidRDefault="007C419E">
            <w:pPr>
              <w:spacing w:after="0"/>
              <w:ind w:right="403"/>
              <w:jc w:val="right"/>
              <w:rPr>
                <w:b/>
                <w:bCs/>
                <w:color w:val="FFFFFF"/>
                <w:sz w:val="29"/>
                <w:szCs w:val="29"/>
              </w:rPr>
            </w:pPr>
          </w:p>
          <w:p w14:paraId="76BC9121" w14:textId="54805530" w:rsidR="007C419E" w:rsidRDefault="00B53E34">
            <w:pPr>
              <w:spacing w:after="0"/>
              <w:ind w:right="403"/>
              <w:jc w:val="right"/>
              <w:rPr>
                <w:b/>
                <w:bCs/>
                <w:smallCaps/>
                <w:color w:val="FFFFFF"/>
                <w:sz w:val="29"/>
                <w:szCs w:val="29"/>
              </w:rPr>
            </w:pPr>
            <w:r>
              <w:rPr>
                <w:b/>
                <w:bCs/>
                <w:smallCaps/>
                <w:color w:val="FFFFFF"/>
                <w:sz w:val="29"/>
                <w:szCs w:val="29"/>
              </w:rPr>
              <w:t>Causal Design</w:t>
            </w:r>
            <w:r w:rsidR="00000000">
              <w:rPr>
                <w:b/>
                <w:bCs/>
                <w:smallCaps/>
                <w:color w:val="FFFFFF"/>
                <w:sz w:val="29"/>
                <w:szCs w:val="29"/>
              </w:rPr>
              <w:t xml:space="preserve">, </w:t>
            </w:r>
            <w:r>
              <w:rPr>
                <w:b/>
                <w:bCs/>
                <w:smallCaps/>
                <w:color w:val="FFFFFF"/>
                <w:sz w:val="29"/>
                <w:szCs w:val="29"/>
              </w:rPr>
              <w:t>Example</w:t>
            </w:r>
          </w:p>
          <w:p w14:paraId="3B189440" w14:textId="39092F53" w:rsidR="007C419E" w:rsidRDefault="00B53E34">
            <w:pPr>
              <w:spacing w:after="0"/>
              <w:ind w:right="403"/>
              <w:jc w:val="right"/>
              <w:rPr>
                <w:sz w:val="29"/>
                <w:szCs w:val="29"/>
                <w:highlight w:val="yellow"/>
              </w:rPr>
            </w:pPr>
            <w:r w:rsidRPr="00B53E34">
              <w:rPr>
                <w:b/>
                <w:bCs/>
                <w:smallCaps/>
                <w:color w:val="FFFFFF"/>
                <w:sz w:val="29"/>
                <w:szCs w:val="29"/>
              </w:rPr>
              <w:t>1 January 2027</w:t>
            </w:r>
          </w:p>
        </w:tc>
      </w:tr>
    </w:tbl>
    <w:p w14:paraId="401A332E" w14:textId="77777777" w:rsidR="007C419E" w:rsidRDefault="007C419E">
      <w:pPr>
        <w:spacing w:before="0" w:after="0" w:line="40" w:lineRule="exact"/>
        <w:rPr>
          <w:sz w:val="4"/>
          <w:szCs w:val="4"/>
        </w:rPr>
        <w:sectPr w:rsidR="007C419E">
          <w:headerReference w:type="even" r:id="rId7"/>
          <w:headerReference w:type="default" r:id="rId8"/>
          <w:footerReference w:type="even" r:id="rId9"/>
          <w:footerReference w:type="default" r:id="rId10"/>
          <w:headerReference w:type="first" r:id="rId11"/>
          <w:footerReference w:type="first" r:id="rId12"/>
          <w:pgSz w:w="12240" w:h="15840"/>
          <w:pgMar w:top="720" w:right="1008" w:bottom="1224" w:left="1080" w:header="720" w:footer="720" w:gutter="0"/>
          <w:pgNumType w:start="1"/>
          <w:cols w:space="720"/>
        </w:sectPr>
      </w:pPr>
    </w:p>
    <w:p w14:paraId="482A4BD8" w14:textId="77777777" w:rsidR="007C419E" w:rsidRDefault="007C419E"/>
    <w:p w14:paraId="19AC7909" w14:textId="77777777" w:rsidR="007C419E" w:rsidRDefault="007C419E"/>
    <w:p w14:paraId="08AC0066" w14:textId="77777777" w:rsidR="007C419E" w:rsidRDefault="007C419E"/>
    <w:p w14:paraId="49981063" w14:textId="77777777" w:rsidR="007C419E" w:rsidRDefault="007C419E"/>
    <w:p w14:paraId="69B97CCE" w14:textId="77777777" w:rsidR="007C419E" w:rsidRDefault="007C419E"/>
    <w:p w14:paraId="0BF5D8AF" w14:textId="77777777" w:rsidR="007C419E" w:rsidRDefault="007C419E"/>
    <w:p w14:paraId="71866FFD" w14:textId="77777777" w:rsidR="007C419E" w:rsidRDefault="007C419E"/>
    <w:p w14:paraId="4D832283" w14:textId="77777777" w:rsidR="007C419E" w:rsidRDefault="007C419E"/>
    <w:p w14:paraId="3ACFE11E" w14:textId="77777777" w:rsidR="007C419E" w:rsidRDefault="007C419E"/>
    <w:p w14:paraId="53FC1A75" w14:textId="77777777" w:rsidR="007C419E" w:rsidRDefault="007C419E"/>
    <w:p w14:paraId="098FDD30" w14:textId="77777777" w:rsidR="007C419E" w:rsidRDefault="007C419E"/>
    <w:p w14:paraId="6F253661" w14:textId="77777777" w:rsidR="007C419E" w:rsidRDefault="007C419E"/>
    <w:p w14:paraId="01A40D12" w14:textId="77777777" w:rsidR="007C419E" w:rsidRDefault="007C419E"/>
    <w:p w14:paraId="0D961953" w14:textId="77777777" w:rsidR="007C419E" w:rsidRDefault="007C419E"/>
    <w:p w14:paraId="525637F4" w14:textId="77777777" w:rsidR="007C419E" w:rsidRDefault="007C419E"/>
    <w:p w14:paraId="50AD76D3" w14:textId="77777777" w:rsidR="007C419E" w:rsidRDefault="007C419E"/>
    <w:p w14:paraId="29B46375" w14:textId="77777777" w:rsidR="007C419E" w:rsidRDefault="007C419E"/>
    <w:p w14:paraId="08583B13" w14:textId="77777777" w:rsidR="007C419E" w:rsidRDefault="007C419E"/>
    <w:p w14:paraId="3BDF0AE4" w14:textId="77777777" w:rsidR="007C419E" w:rsidRDefault="007C419E"/>
    <w:p w14:paraId="76B18F23" w14:textId="77777777" w:rsidR="007C419E" w:rsidRDefault="00000000">
      <w:pPr>
        <w:jc w:val="center"/>
        <w:rPr>
          <w:b/>
          <w:bCs/>
          <w:color w:val="558AA5"/>
        </w:rPr>
      </w:pPr>
      <w:r>
        <w:rPr>
          <w:b/>
          <w:bCs/>
          <w:color w:val="558AA5"/>
        </w:rPr>
        <w:t>Prepared for:</w:t>
      </w:r>
    </w:p>
    <w:p w14:paraId="14CD2867" w14:textId="77777777" w:rsidR="007C419E" w:rsidRDefault="007C419E">
      <w:pPr>
        <w:jc w:val="center"/>
        <w:sectPr w:rsidR="007C419E">
          <w:headerReference w:type="default" r:id="rId13"/>
          <w:footerReference w:type="default" r:id="rId14"/>
          <w:pgSz w:w="12240" w:h="15840"/>
          <w:pgMar w:top="720" w:right="1008" w:bottom="1224" w:left="1080" w:header="720" w:footer="720" w:gutter="0"/>
          <w:cols w:space="720"/>
        </w:sectPr>
      </w:pPr>
    </w:p>
    <w:p w14:paraId="1D93C678" w14:textId="77777777" w:rsidR="007C419E" w:rsidRDefault="007C419E">
      <w:pPr>
        <w:spacing w:after="0"/>
      </w:pPr>
      <w:bookmarkStart w:id="0" w:name="_gjdgxs" w:colFirst="0" w:colLast="0"/>
      <w:bookmarkEnd w:id="0"/>
    </w:p>
    <w:p w14:paraId="4931B545" w14:textId="77777777" w:rsidR="007C419E" w:rsidRDefault="00000000">
      <w:pPr>
        <w:rPr>
          <w:b/>
          <w:bCs/>
          <w:color w:val="558AA5"/>
          <w:sz w:val="30"/>
          <w:szCs w:val="30"/>
        </w:rPr>
      </w:pPr>
      <w:r>
        <w:rPr>
          <w:b/>
          <w:bCs/>
          <w:color w:val="558AA5"/>
          <w:sz w:val="30"/>
          <w:szCs w:val="30"/>
        </w:rPr>
        <w:t>TABLE OF CONTENTS</w:t>
      </w:r>
    </w:p>
    <w:p w14:paraId="13040371" w14:textId="77777777" w:rsidR="007C419E" w:rsidRDefault="007C419E"/>
    <w:sdt>
      <w:sdtPr>
        <w:id w:val="396104510"/>
        <w:docPartObj>
          <w:docPartGallery w:val="Table of Contents"/>
          <w:docPartUnique/>
        </w:docPartObj>
      </w:sdtPr>
      <w:sdtContent>
        <w:p w14:paraId="32421E85" w14:textId="6E546958" w:rsidR="009373B0" w:rsidRDefault="00000000">
          <w:pPr>
            <w:pStyle w:val="TOC3"/>
            <w:tabs>
              <w:tab w:val="right" w:pos="10142"/>
            </w:tabs>
            <w:rPr>
              <w:noProof/>
            </w:rPr>
          </w:pPr>
          <w:r>
            <w:fldChar w:fldCharType="begin"/>
          </w:r>
          <w:r>
            <w:instrText xml:space="preserve"> TOC \h \u \z \t "Heading 1,1,Heading 2,2,Heading 3,3,"</w:instrText>
          </w:r>
          <w:r>
            <w:fldChar w:fldCharType="separate"/>
          </w:r>
          <w:hyperlink w:anchor="_Toc240963998" w:history="1">
            <w:r w:rsidR="009373B0" w:rsidRPr="00A36503">
              <w:rPr>
                <w:rStyle w:val="Hyperlink"/>
                <w:noProof/>
              </w:rPr>
              <w:t>ACRONYMS</w:t>
            </w:r>
            <w:r w:rsidR="009373B0">
              <w:rPr>
                <w:noProof/>
                <w:webHidden/>
              </w:rPr>
              <w:tab/>
            </w:r>
            <w:r w:rsidR="009373B0">
              <w:rPr>
                <w:noProof/>
                <w:webHidden/>
              </w:rPr>
              <w:fldChar w:fldCharType="begin"/>
            </w:r>
            <w:r w:rsidR="009373B0">
              <w:rPr>
                <w:noProof/>
                <w:webHidden/>
              </w:rPr>
              <w:instrText xml:space="preserve"> PAGEREF _Toc240963998 \h </w:instrText>
            </w:r>
            <w:r w:rsidR="009373B0">
              <w:rPr>
                <w:noProof/>
                <w:webHidden/>
              </w:rPr>
            </w:r>
            <w:r w:rsidR="009373B0">
              <w:rPr>
                <w:noProof/>
                <w:webHidden/>
              </w:rPr>
              <w:fldChar w:fldCharType="separate"/>
            </w:r>
            <w:r w:rsidR="009373B0">
              <w:rPr>
                <w:noProof/>
                <w:webHidden/>
              </w:rPr>
              <w:t>4</w:t>
            </w:r>
            <w:r w:rsidR="009373B0">
              <w:rPr>
                <w:noProof/>
                <w:webHidden/>
              </w:rPr>
              <w:fldChar w:fldCharType="end"/>
            </w:r>
          </w:hyperlink>
        </w:p>
        <w:p w14:paraId="2AE4B78C" w14:textId="2D99949B" w:rsidR="007C419E" w:rsidRDefault="00000000">
          <w:pPr>
            <w:widowControl w:val="0"/>
            <w:tabs>
              <w:tab w:val="right" w:pos="12000"/>
            </w:tabs>
            <w:spacing w:before="60" w:after="0" w:line="240" w:lineRule="auto"/>
            <w:jc w:val="left"/>
            <w:rPr>
              <w:b/>
              <w:bCs/>
              <w:color w:val="000000"/>
              <w:sz w:val="22"/>
              <w:szCs w:val="22"/>
            </w:rPr>
          </w:pPr>
          <w:r>
            <w:fldChar w:fldCharType="end"/>
          </w:r>
        </w:p>
      </w:sdtContent>
    </w:sdt>
    <w:p w14:paraId="2362485C" w14:textId="77777777" w:rsidR="007C419E" w:rsidRDefault="00000000">
      <w:r>
        <w:br w:type="page"/>
      </w:r>
    </w:p>
    <w:p w14:paraId="0C7EA460" w14:textId="77777777" w:rsidR="007C419E" w:rsidRDefault="007C419E">
      <w:pPr>
        <w:spacing w:after="0"/>
      </w:pPr>
      <w:bookmarkStart w:id="1" w:name="_3znysh7" w:colFirst="0" w:colLast="0"/>
      <w:bookmarkEnd w:id="1"/>
    </w:p>
    <w:p w14:paraId="7174BE21" w14:textId="77777777" w:rsidR="007C419E" w:rsidRDefault="00000000">
      <w:pPr>
        <w:pStyle w:val="Heading3"/>
      </w:pPr>
      <w:bookmarkStart w:id="2" w:name="_Toc240963998"/>
      <w:r>
        <w:t>ACRONYMS</w:t>
      </w:r>
      <w:bookmarkEnd w:id="2"/>
    </w:p>
    <w:p w14:paraId="26AEEE3A" w14:textId="77777777" w:rsidR="007C419E" w:rsidRDefault="007C419E"/>
    <w:tbl>
      <w:tblPr>
        <w:tblStyle w:val="a0"/>
        <w:tblW w:w="10142" w:type="dxa"/>
        <w:jc w:val="center"/>
        <w:tblInd w:w="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00" w:firstRow="0" w:lastRow="0" w:firstColumn="0" w:lastColumn="0" w:noHBand="0" w:noVBand="1"/>
      </w:tblPr>
      <w:tblGrid>
        <w:gridCol w:w="1165"/>
        <w:gridCol w:w="8977"/>
      </w:tblGrid>
      <w:tr w:rsidR="007C419E" w14:paraId="6F3BB196" w14:textId="77777777">
        <w:trPr>
          <w:jc w:val="center"/>
        </w:trPr>
        <w:tc>
          <w:tcPr>
            <w:tcW w:w="1165" w:type="dxa"/>
          </w:tcPr>
          <w:p w14:paraId="1FF5F2AD" w14:textId="77777777" w:rsidR="007C419E" w:rsidRDefault="00000000">
            <w:pPr>
              <w:rPr>
                <w:color w:val="000000"/>
              </w:rPr>
            </w:pPr>
            <w:r>
              <w:rPr>
                <w:color w:val="000000"/>
              </w:rPr>
              <w:t>CD</w:t>
            </w:r>
          </w:p>
        </w:tc>
        <w:tc>
          <w:tcPr>
            <w:tcW w:w="8977" w:type="dxa"/>
          </w:tcPr>
          <w:p w14:paraId="396B94E4" w14:textId="77777777" w:rsidR="007C419E" w:rsidRDefault="00000000">
            <w:pPr>
              <w:rPr>
                <w:color w:val="000000"/>
              </w:rPr>
            </w:pPr>
            <w:r>
              <w:rPr>
                <w:color w:val="000000"/>
              </w:rPr>
              <w:t>Causal Design</w:t>
            </w:r>
          </w:p>
        </w:tc>
      </w:tr>
      <w:tr w:rsidR="007C419E" w14:paraId="6F3BB196" w14:textId="77777777">
        <w:trPr>
          <w:jc w:val="center"/>
        </w:trPr>
        <w:tc>
          <w:tcPr>
            <w:tcW w:w="1165" w:type="dxa"/>
          </w:tcPr>
          <w:p w14:paraId="1FF5F2AD" w14:textId="77777777" w:rsidR="007C419E" w:rsidRDefault="00000000">
            <w:pPr>
              <w:rPr>
                <w:color w:val="000000"/>
              </w:rPr>
            </w:pPr>
            <w:r>
              <w:rPr>
                <w:color w:val="000000"/>
              </w:rPr>
              <w:t>MDE</w:t>
            </w:r>
          </w:p>
        </w:tc>
        <w:tc>
          <w:tcPr>
            <w:tcW w:w="8977" w:type="dxa"/>
          </w:tcPr>
          <w:p w14:paraId="396B94E4" w14:textId="77777777" w:rsidR="007C419E" w:rsidRDefault="00000000">
            <w:pPr>
              <w:rPr>
                <w:color w:val="000000"/>
              </w:rPr>
            </w:pPr>
            <w:r>
              <w:rPr>
                <w:color w:val="000000"/>
              </w:rPr>
              <w:t>minimum detectable effect</w:t>
            </w:r>
          </w:p>
        </w:tc>
      </w:tr>
    </w:tbl>
    <w:p w14:paraId="0ECA5224" w14:textId="77777777" w:rsidR="007C419E" w:rsidRDefault="007C419E">
      <w:bookmarkStart w:id="3" w:name="_1t3h5sf" w:colFirst="0" w:colLast="0"/>
      <w:bookmarkEnd w:id="3"/>
    </w:p>
    <w:p w14:paraId="02BDE99A" w14:textId="77777777" w:rsidR="007C419E" w:rsidRDefault="007C419E">
      <w:bookmarkStart w:id="4" w:name="_2s8eyo1" w:colFirst="0" w:colLast="0"/>
      <w:bookmarkEnd w:id="4"/>
    </w:p>
    <w:p w14:paraId="4AB7671A" w14:textId="77777777" w:rsidR="007C419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sectPr w:rsidR="007C419E">
          <w:headerReference w:type="default" r:id="rId15"/>
          <w:footerReference w:type="default" r:id="rId16"/>
          <w:pgSz w:w="12240" w:h="15840"/>
          <w:pgMar w:top="720" w:right="1008" w:bottom="1224" w:left="1080" w:header="720" w:footer="720" w:gutter="0"/>
          <w:cols w:space="720"/>
        </w:sectPr>
      </w:pPr>
    </w:p>
    <w:bookmarkStart w:id="5" w:name="executive-summary"/>
    <w:p>
      <w:pPr>
        <w:pStyle w:val="Heading1"/>
      </w:pPr>
      <w:r>
        <w:t xml:space="preserve">EXECUTIVE SUMMARY</w:t>
      </w:r>
    </w:p>
    <w:p>
      <w:pPr>
        <w:pStyle w:val="FirstParagraph"/>
      </w:pPr>
      <w:r>
        <w:t xml:space="preserve">The executive summary opens the report and carries the findings. It uses Heading 1,</w:t>
      </w:r>
      <w:r>
        <w:t xml:space="preserve"> </w:t>
      </w:r>
      <w:r>
        <w:t xml:space="preserve">like every top-level section, and therefore starts its own page.</w:t>
      </w:r>
    </w:p>
    <w:bookmarkEnd w:id="5"/>
    <w:bookmarkStart w:id="6" w:name="headings-and-text"/>
    <w:p>
      <w:pPr>
        <w:pStyle w:val="Heading1"/>
      </w:pPr>
      <w:r>
        <w:t xml:space="preserve">1.0 HEADINGS AND TEXT</w:t>
      </w:r>
    </w:p>
    <w:p>
      <w:pPr>
        <w:pStyle w:val="FirstParagraph"/>
      </w:pPr>
      <w:r>
        <w:t xml:space="preserve">Body text is Arial 10. Section numbers are typed into the heading, not generated —</w:t>
      </w:r>
      <w:r>
        <w:t xml:space="preserve"> </w:t>
      </w:r>
      <w:r>
        <w:t xml:space="preserve">Quarto’s automatic numbering is switched off, because the front matter’s table of</w:t>
      </w:r>
      <w:r>
        <w:t xml:space="preserve"> </w:t>
      </w:r>
      <w:r>
        <w:t xml:space="preserve">contents is a live Word field that reads the heading text.</w:t>
      </w:r>
    </w:p>
    <w:bookmarkStart w:id="7" w:name="a-second-level-heading"/>
    <w:p>
      <w:pPr>
        <w:pStyle w:val="Heading2"/>
      </w:pPr>
      <w:r>
        <w:t xml:space="preserve">1.1 A second-level heading</w:t>
      </w:r>
    </w:p>
    <w:p>
      <w:pPr>
        <w:pStyle w:val="FirstParagraph"/>
      </w:pPr>
      <w:r>
        <w:t xml:space="preserve">Second-level headings take the house blue at 15 point.</w:t>
      </w:r>
    </w:p>
    <w:bookmarkStart w:id="8" w:name="a-third-level-heading"/>
    <w:p>
      <w:pPr>
        <w:pStyle w:val="Heading3"/>
      </w:pPr>
      <w:r>
        <w:t xml:space="preserve">1.1.1 A third-level heading</w:t>
      </w:r>
    </w:p>
    <w:p>
      <w:pPr>
        <w:pStyle w:val="FirstParagraph"/>
      </w:pPr>
      <w:r>
        <w:t xml:space="preserve">Third level is the same blue at 13 point.</w:t>
      </w:r>
    </w:p>
    <w:bookmarkStart w:id="9" w:name="a-fourth-level-heading"/>
    <w:p>
      <w:pPr>
        <w:pStyle w:val="Heading4"/>
      </w:pPr>
      <w:r>
        <w:t xml:space="preserve">A fourth-level heading</w:t>
      </w:r>
    </w:p>
    <w:p>
      <w:pPr>
        <w:pStyle w:val="FirstParagraph"/>
      </w:pPr>
      <w:r>
        <w:t xml:space="preserve">Fourth level is the accent red, bold, in small capitals. It takes no number.</w:t>
      </w:r>
    </w:p>
    <w:bookmarkStart w:id="10" w:name="a-fifth-level-heading"/>
    <w:p>
      <w:pPr>
        <w:pStyle w:val="Heading5"/>
      </w:pPr>
      <w:r>
        <w:t xml:space="preserve">A fifth-level heading</w:t>
      </w:r>
    </w:p>
    <w:p>
      <w:pPr>
        <w:pStyle w:val="FirstParagraph"/>
      </w:pPr>
      <w:r>
        <w:t xml:space="preserve">Fifth level is black, bold, underlined, in small capitals.</w:t>
      </w:r>
    </w:p>
    <w:bookmarkEnd w:id="6"/>
    <w:bookmarkEnd w:id="7"/>
    <w:bookmarkEnd w:id="8"/>
    <w:bookmarkEnd w:id="9"/>
    <w:bookmarkStart w:id="11" w:name="lists"/>
    <w:p>
      <w:pPr>
        <w:pStyle w:val="Heading2"/>
      </w:pPr>
      <w:r>
        <w:t xml:space="preserve">1.2 Lists</w:t>
      </w:r>
    </w:p>
    <w:p>
      <w:pPr>
        <w:pStyle w:val="FirstParagraph"/>
      </w:pPr>
      <w:r>
        <w:t xml:space="preserve">Unordered:</w:t>
      </w:r>
    </w:p>
    <w:p>
      <w:pPr>
        <w:pStyle w:val="Compact"/>
        <w:numPr>
          <w:ilvl w:val="0"/>
          <w:numId w:val="18"/>
        </w:numPr>
      </w:pPr>
      <w:r>
        <w:t xml:space="preserve">Leadership and governance systems that plan and respond to crises;</w:t>
      </w:r>
    </w:p>
    <w:p>
      <w:pPr>
        <w:pStyle w:val="Compact"/>
        <w:numPr>
          <w:ilvl w:val="0"/>
          <w:numId w:val="18"/>
        </w:numPr>
      </w:pPr>
      <w:r>
        <w:t xml:space="preserve">Ecosystems that provide sustainable access to land, water and natural resources; and</w:t>
      </w:r>
    </w:p>
    <w:p>
      <w:pPr>
        <w:pStyle w:val="Compact"/>
        <w:numPr>
          <w:ilvl w:val="0"/>
          <w:numId w:val="18"/>
        </w:numPr>
      </w:pPr>
      <w:r>
        <w:t xml:space="preserve">Market systems that support inclusive access to finance, livelihoods and services.</w:t>
      </w:r>
    </w:p>
    <w:p>
      <w:pPr>
        <w:pStyle w:val="FirstParagraph"/>
      </w:pPr>
      <w:r>
        <w:t xml:space="preserve">Ordered:</w:t>
      </w:r>
    </w:p>
    <w:p>
      <w:pPr>
        <w:pStyle w:val="Compact"/>
        <w:numPr>
          <w:ilvl w:val="0"/>
          <w:numId w:val="20"/>
        </w:numPr>
      </w:pPr>
      <w:r>
        <w:t xml:space="preserve">First step.</w:t>
      </w:r>
    </w:p>
    <w:p>
      <w:pPr>
        <w:pStyle w:val="Compact"/>
        <w:numPr>
          <w:ilvl w:val="0"/>
          <w:numId w:val="20"/>
        </w:numPr>
      </w:pPr>
      <w:r>
        <w:t xml:space="preserve">Second step.</w:t>
      </w:r>
    </w:p>
    <w:p>
      <w:pPr>
        <w:pStyle w:val="Compact"/>
        <w:numPr>
          <w:ilvl w:val="0"/>
          <w:numId w:val="20"/>
        </w:numPr>
      </w:pPr>
      <w:r>
        <w:t xml:space="preserve">Third step.</w:t>
      </w:r>
    </w:p>
    <w:bookmarkEnd w:id="10"/>
    <w:bookmarkEnd w:id="11"/>
    <w:bookmarkStart w:id="12" w:name="tables"/>
    <w:p>
      <w:pPr>
        <w:pStyle w:val="Heading1"/>
      </w:pPr>
      <w:r>
        <w:t xml:space="preserve">2.0 TABLES</w:t>
      </w:r>
    </w:p>
    <w:p>
      <w:pPr>
        <w:pStyle w:val="FirstParagraph"/>
      </w:pPr>
      <w:r>
        <w:t xml:space="preserve">A table needs no special markup. Write an ordinary pipe table and it picks up the</w:t>
      </w:r>
      <w:r>
        <w:t xml:space="preserve"> </w:t>
      </w:r>
      <w:r>
        <w:t xml:space="preserve">house look from the Word table style: a blue header row with white bold type, and</w:t>
      </w:r>
      <w:r>
        <w:t xml:space="preserve"> </w:t>
      </w:r>
      <w:r>
        <w:t xml:space="preserve">body rows banded white and pale blue.</w:t>
      </w:r>
    </w:p>
    <w:p>
      <w:pPr>
        <w:pStyle w:val="BodyText"/>
      </w:pPr>
      <w:r>
        <w:t xml:space="preserve">The title is a</w:t>
      </w:r>
      <w:r>
        <w:t xml:space="preserve"> </w:t>
      </w:r>
      <w:r>
        <w:rPr>
          <w:b/>
          <w:bCs/>
        </w:rPr>
        <w:t xml:space="preserve">bold line above the table</w:t>
      </w:r>
      <w:r>
        <w:t xml:space="preserve">, numbered by hand. Keep the numbering</w:t>
      </w:r>
      <w:r>
        <w:t xml:space="preserve"> </w:t>
      </w:r>
      <w:r>
        <w:t xml:space="preserve">sequential with</w:t>
      </w:r>
      <w:r>
        <w:t xml:space="preserve"> </w:t>
      </w:r>
      <w:r>
        <w:rPr>
          <w:rStyle w:val="VerbatimChar"/>
        </w:rPr>
        <w:t xml:space="preserve">renumber_titles.py</w:t>
      </w:r>
      <w:r>
        <w:t xml:space="preserve">.</w:t>
      </w:r>
    </w:p>
    <w:p>
      <w:pPr>
        <w:pStyle w:val="BodyText"/>
        <w:keepNext/>
      </w:pPr>
      <w:r>
        <w:rPr>
          <w:b/>
          <w:bCs/>
        </w:rPr>
        <w:t xml:space="preserve">Table 1. Household composition at baseline and midline</w:t>
      </w:r>
    </w:p>
    <w:tbl>
      <w:tblPr>
        <w:tblStyle w:val="Table"/>
        <w:tblW w:type="pct" w:w="5000"/>
        <w:tblLayout w:type="fixed"/>
        <w:tblLook w:firstRow="1" w:lastRow="0" w:firstColumn="0" w:lastColumn="0" w:noHBand="0" w:noVBand="0" w:val="0020"/>
      </w:tblPr>
      <w:tblGrid>
        <w:gridCol w:w="2640"/>
        <w:gridCol w:w="2640"/>
        <w:gridCol w:w="2640"/>
      </w:tblGrid>
      <w:tr>
        <w:trPr>
          <w:cantSplit/>
        </w:trPr>
        <w:tc>
          <w:tcPr>
            <w:shd w:val="clear" w:color="auto" w:fill="008CCC"/>
          </w:tcPr>
          <w:p>
            <w:pPr>
              <w:pStyle w:val="Compact"/>
              <w:keepNext/>
            </w:pPr>
            <w:r>
              <w:rPr>
                <w:rFonts w:ascii="Arial" w:hAnsi="Arial" w:cs="Arial" w:eastAsia="Arial"/>
                <w:b/>
                <w:bCs/>
                <w:color w:val="FFFFFF"/>
                <w:sz w:val="18"/>
                <w:szCs w:val="18"/>
              </w:rPr>
              <w:t xml:space="preserve">Indicator</w:t>
            </w:r>
          </w:p>
        </w:tc>
        <w:tc>
          <w:tcPr>
            <w:shd w:val="clear" w:color="auto" w:fill="008CCC"/>
          </w:tcPr>
          <w:p>
            <w:pPr>
              <w:pStyle w:val="Compact"/>
              <w:keepNext/>
            </w:pPr>
            <w:r>
              <w:rPr>
                <w:rFonts w:ascii="Arial" w:hAnsi="Arial" w:cs="Arial" w:eastAsia="Arial"/>
                <w:b/>
                <w:bCs/>
                <w:color w:val="FFFFFF"/>
                <w:sz w:val="18"/>
                <w:szCs w:val="18"/>
              </w:rPr>
              <w:t xml:space="preserve">BL mean (SE)</w:t>
            </w:r>
          </w:p>
        </w:tc>
        <w:tc>
          <w:tcPr>
            <w:shd w:val="clear" w:color="auto" w:fill="008CCC"/>
          </w:tcPr>
          <w:p>
            <w:pPr>
              <w:pStyle w:val="Compact"/>
              <w:keepNext/>
            </w:pPr>
            <w:r>
              <w:rPr>
                <w:rFonts w:ascii="Arial" w:hAnsi="Arial" w:cs="Arial" w:eastAsia="Arial"/>
                <w:b/>
                <w:bCs/>
                <w:color w:val="FFFFFF"/>
                <w:sz w:val="18"/>
                <w:szCs w:val="18"/>
              </w:rPr>
              <w:t xml:space="preserve">ML mean (SE)</w:t>
            </w:r>
          </w:p>
        </w:tc>
      </w:tr>
      <w:tr>
        <w:trPr>
          <w:cantSplit/>
        </w:trPr>
        <w:tc>
          <w:tcPr>
            <w:shd w:val="clear" w:color="auto" w:fill="FFFFFF"/>
          </w:tcPr>
          <w:p>
            <w:pPr>
              <w:pStyle w:val="Compact"/>
            </w:pPr>
            <w:r>
              <w:rPr>
                <w:rFonts w:ascii="Arial" w:hAnsi="Arial" w:cs="Arial" w:eastAsia="Arial"/>
                <w:color w:val="000000"/>
                <w:sz w:val="18"/>
                <w:szCs w:val="18"/>
              </w:rPr>
              <w:t xml:space="preserve">Average household size</w:t>
            </w:r>
          </w:p>
        </w:tc>
        <w:tc>
          <w:tcPr>
            <w:shd w:val="clear" w:color="auto" w:fill="FFFFFF"/>
          </w:tcPr>
          <w:p>
            <w:pPr>
              <w:pStyle w:val="Compact"/>
            </w:pPr>
            <w:r>
              <w:rPr>
                <w:rFonts w:ascii="Arial" w:hAnsi="Arial" w:cs="Arial" w:eastAsia="Arial"/>
                <w:color w:val="000000"/>
                <w:sz w:val="18"/>
                <w:szCs w:val="18"/>
              </w:rPr>
              <w:t xml:space="preserve">7.92 (0.16)</w:t>
            </w:r>
          </w:p>
        </w:tc>
        <w:tc>
          <w:tcPr>
            <w:shd w:val="clear" w:color="auto" w:fill="FFFFFF"/>
          </w:tcPr>
          <w:p>
            <w:pPr>
              <w:pStyle w:val="Compact"/>
            </w:pPr>
            <w:r>
              <w:rPr>
                <w:rFonts w:ascii="Arial" w:hAnsi="Arial" w:cs="Arial" w:eastAsia="Arial"/>
                <w:color w:val="000000"/>
                <w:sz w:val="18"/>
                <w:szCs w:val="18"/>
              </w:rPr>
              <w:t xml:space="preserve">8.33 (0.19)</w:t>
            </w:r>
          </w:p>
        </w:tc>
      </w:tr>
      <w:tr>
        <w:trPr>
          <w:cantSplit/>
        </w:trPr>
        <w:tc>
          <w:tcPr>
            <w:shd w:val="clear" w:color="auto" w:fill="D4E2E9"/>
          </w:tcPr>
          <w:p>
            <w:pPr>
              <w:pStyle w:val="Compact"/>
            </w:pPr>
            <w:r>
              <w:rPr>
                <w:rFonts w:ascii="Arial" w:hAnsi="Arial" w:cs="Arial" w:eastAsia="Arial"/>
                <w:color w:val="000000"/>
                <w:sz w:val="18"/>
                <w:szCs w:val="18"/>
              </w:rPr>
              <w:t xml:space="preserve">Average number of female members</w:t>
            </w:r>
          </w:p>
        </w:tc>
        <w:tc>
          <w:tcPr>
            <w:shd w:val="clear" w:color="auto" w:fill="D4E2E9"/>
          </w:tcPr>
          <w:p>
            <w:pPr>
              <w:pStyle w:val="Compact"/>
            </w:pPr>
            <w:r>
              <w:rPr>
                <w:rFonts w:ascii="Arial" w:hAnsi="Arial" w:cs="Arial" w:eastAsia="Arial"/>
                <w:color w:val="000000"/>
                <w:sz w:val="18"/>
                <w:szCs w:val="18"/>
              </w:rPr>
              <w:t xml:space="preserve">3.97 (0.08)</w:t>
            </w:r>
          </w:p>
        </w:tc>
        <w:tc>
          <w:tcPr>
            <w:shd w:val="clear" w:color="auto" w:fill="D4E2E9"/>
          </w:tcPr>
          <w:p>
            <w:pPr>
              <w:pStyle w:val="Compact"/>
            </w:pPr>
            <w:r>
              <w:rPr>
                <w:rFonts w:ascii="Arial" w:hAnsi="Arial" w:cs="Arial" w:eastAsia="Arial"/>
                <w:color w:val="000000"/>
                <w:sz w:val="18"/>
                <w:szCs w:val="18"/>
              </w:rPr>
              <w:t xml:space="preserve">4.08 (0.11)</w:t>
            </w:r>
          </w:p>
        </w:tc>
      </w:tr>
      <w:tr>
        <w:trPr>
          <w:cantSplit/>
        </w:trPr>
        <w:tc>
          <w:tcPr>
            <w:shd w:val="clear" w:color="auto" w:fill="FFFFFF"/>
          </w:tcPr>
          <w:p>
            <w:pPr>
              <w:pStyle w:val="Compact"/>
            </w:pPr>
            <w:r>
              <w:rPr>
                <w:rFonts w:ascii="Arial" w:hAnsi="Arial" w:cs="Arial" w:eastAsia="Arial"/>
                <w:color w:val="000000"/>
                <w:sz w:val="18"/>
                <w:szCs w:val="18"/>
              </w:rPr>
              <w:t xml:space="preserve">Average number of children under 5</w:t>
            </w:r>
          </w:p>
        </w:tc>
        <w:tc>
          <w:tcPr>
            <w:shd w:val="clear" w:color="auto" w:fill="FFFFFF"/>
          </w:tcPr>
          <w:p>
            <w:pPr>
              <w:pStyle w:val="Compact"/>
            </w:pPr>
            <w:r>
              <w:rPr>
                <w:rFonts w:ascii="Arial" w:hAnsi="Arial" w:cs="Arial" w:eastAsia="Arial"/>
                <w:color w:val="000000"/>
                <w:sz w:val="18"/>
                <w:szCs w:val="18"/>
              </w:rPr>
              <w:t xml:space="preserve">1.85 (0.07)</w:t>
            </w:r>
          </w:p>
        </w:tc>
        <w:tc>
          <w:tcPr>
            <w:shd w:val="clear" w:color="auto" w:fill="FFFFFF"/>
          </w:tcPr>
          <w:p>
            <w:pPr>
              <w:pStyle w:val="Compact"/>
            </w:pPr>
            <w:r>
              <w:rPr>
                <w:rFonts w:ascii="Arial" w:hAnsi="Arial" w:cs="Arial" w:eastAsia="Arial"/>
                <w:color w:val="000000"/>
                <w:sz w:val="18"/>
                <w:szCs w:val="18"/>
              </w:rPr>
              <w:t xml:space="preserve">1.79 (0.07)</w:t>
            </w:r>
          </w:p>
        </w:tc>
      </w:tr>
      <w:tr>
        <w:trPr>
          <w:cantSplit/>
        </w:trPr>
        <w:tc>
          <w:tcPr>
            <w:shd w:val="clear" w:color="auto" w:fill="D4E2E9"/>
          </w:tcPr>
          <w:p>
            <w:pPr>
              <w:pStyle w:val="Compact"/>
            </w:pPr>
            <w:r>
              <w:rPr>
                <w:rFonts w:ascii="Arial" w:hAnsi="Arial" w:cs="Arial" w:eastAsia="Arial"/>
                <w:color w:val="000000"/>
                <w:sz w:val="18"/>
                <w:szCs w:val="18"/>
              </w:rPr>
              <w:t xml:space="preserve">% female-headed households</w:t>
            </w:r>
          </w:p>
        </w:tc>
        <w:tc>
          <w:tcPr>
            <w:shd w:val="clear" w:color="auto" w:fill="D4E2E9"/>
          </w:tcPr>
          <w:p>
            <w:pPr>
              <w:pStyle w:val="Compact"/>
            </w:pPr>
            <w:r>
              <w:rPr>
                <w:rFonts w:ascii="Arial" w:hAnsi="Arial" w:cs="Arial" w:eastAsia="Arial"/>
                <w:color w:val="000000"/>
                <w:sz w:val="18"/>
                <w:szCs w:val="18"/>
              </w:rPr>
              <w:t xml:space="preserve">61.5% (2.42)</w:t>
            </w:r>
          </w:p>
        </w:tc>
        <w:tc>
          <w:tcPr>
            <w:shd w:val="clear" w:color="auto" w:fill="D4E2E9"/>
          </w:tcPr>
          <w:p>
            <w:pPr>
              <w:pStyle w:val="Compact"/>
            </w:pPr>
            <w:r>
              <w:rPr>
                <w:rFonts w:ascii="Arial" w:hAnsi="Arial" w:cs="Arial" w:eastAsia="Arial"/>
                <w:color w:val="000000"/>
                <w:sz w:val="18"/>
                <w:szCs w:val="18"/>
              </w:rPr>
              <w:t xml:space="preserve">61.0% (2.41)</w:t>
            </w:r>
          </w:p>
        </w:tc>
      </w:tr>
      <w:tr>
        <w:trPr>
          <w:cantSplit/>
        </w:trPr>
        <w:tc>
          <w:tcPr>
            <w:shd w:val="clear" w:color="auto" w:fill="FFFFFF"/>
          </w:tcPr>
          <w:p>
            <w:pPr>
              <w:pStyle w:val="Compact"/>
            </w:pPr>
            <w:r>
              <w:rPr>
                <w:rFonts w:ascii="Arial" w:hAnsi="Arial" w:cs="Arial" w:eastAsia="Arial"/>
                <w:color w:val="000000"/>
                <w:sz w:val="18"/>
                <w:szCs w:val="18"/>
              </w:rPr>
              <w:t xml:space="preserve">% households with a farmer</w:t>
            </w:r>
          </w:p>
        </w:tc>
        <w:tc>
          <w:tcPr>
            <w:shd w:val="clear" w:color="auto" w:fill="FFFFFF"/>
          </w:tcPr>
          <w:p>
            <w:pPr>
              <w:pStyle w:val="Compact"/>
            </w:pPr>
            <w:r>
              <w:rPr>
                <w:rFonts w:ascii="Arial" w:hAnsi="Arial" w:cs="Arial" w:eastAsia="Arial"/>
                <w:color w:val="000000"/>
                <w:sz w:val="18"/>
                <w:szCs w:val="18"/>
              </w:rPr>
              <w:t xml:space="preserve">37.1% (1.69)</w:t>
            </w:r>
          </w:p>
        </w:tc>
        <w:tc>
          <w:tcPr>
            <w:shd w:val="clear" w:color="auto" w:fill="FFFFFF"/>
          </w:tcPr>
          <w:p>
            <w:pPr>
              <w:pStyle w:val="Compact"/>
            </w:pPr>
            <w:r>
              <w:rPr>
                <w:rFonts w:ascii="Arial" w:hAnsi="Arial" w:cs="Arial" w:eastAsia="Arial"/>
                <w:color w:val="000000"/>
                <w:sz w:val="18"/>
                <w:szCs w:val="18"/>
              </w:rPr>
              <w:t xml:space="preserve">46.7% (1.98)</w:t>
            </w:r>
          </w:p>
        </w:tc>
      </w:tr>
      <w:tr>
        <w:trPr>
          <w:cantSplit/>
        </w:trPr>
        <w:tc>
          <w:tcPr>
            <w:shd w:val="clear" w:color="auto" w:fill="D4E2E9"/>
          </w:tcPr>
          <w:p>
            <w:pPr>
              <w:pStyle w:val="Compact"/>
            </w:pPr>
            <w:r>
              <w:rPr>
                <w:rFonts w:ascii="Arial" w:hAnsi="Arial" w:cs="Arial" w:eastAsia="Arial"/>
                <w:color w:val="000000"/>
                <w:sz w:val="18"/>
                <w:szCs w:val="18"/>
              </w:rPr>
              <w:t xml:space="preserve">% households with a member with a disability</w:t>
            </w:r>
          </w:p>
        </w:tc>
        <w:tc>
          <w:tcPr>
            <w:shd w:val="clear" w:color="auto" w:fill="D4E2E9"/>
          </w:tcPr>
          <w:p>
            <w:pPr>
              <w:pStyle w:val="Compact"/>
            </w:pPr>
            <w:r>
              <w:rPr>
                <w:rFonts w:ascii="Arial" w:hAnsi="Arial" w:cs="Arial" w:eastAsia="Arial"/>
                <w:color w:val="000000"/>
                <w:sz w:val="18"/>
                <w:szCs w:val="18"/>
              </w:rPr>
              <w:t xml:space="preserve">19.2% (2.05)</w:t>
            </w:r>
          </w:p>
        </w:tc>
        <w:tc>
          <w:tcPr>
            <w:shd w:val="clear" w:color="auto" w:fill="D4E2E9"/>
          </w:tcPr>
          <w:p>
            <w:pPr>
              <w:pStyle w:val="Compact"/>
            </w:pPr>
            <w:r>
              <w:rPr>
                <w:rFonts w:ascii="Arial" w:hAnsi="Arial" w:cs="Arial" w:eastAsia="Arial"/>
                <w:color w:val="000000"/>
                <w:sz w:val="18"/>
                <w:szCs w:val="18"/>
              </w:rPr>
              <w:t xml:space="preserve">26.7% (2.35)</w:t>
            </w:r>
          </w:p>
        </w:tc>
      </w:tr>
    </w:tbl>
    <w:p>
      <w:pPr>
        <w:pStyle w:val="BodyText"/>
      </w:pPr>
      <w:r>
        <w:t xml:space="preserve">Text after the table. Note that the prose never cites a table by its number —</w:t>
      </w:r>
      <w:r>
        <w:t xml:space="preserve"> </w:t>
      </w:r>
      <w:r>
        <w:t xml:space="preserve">numbers are reassigned when sections move, so references to them go stale</w:t>
      </w:r>
      <w:r>
        <w:t xml:space="preserve"> </w:t>
      </w:r>
      <w:r>
        <w:t xml:space="preserve">silently. Write</w:t>
      </w:r>
      <w:r>
        <w:t xml:space="preserve"> </w:t>
      </w:r>
      <w:r>
        <w:t xml:space="preserve">“the table above”</w:t>
      </w:r>
      <w:r>
        <w:t xml:space="preserve"> </w:t>
      </w:r>
      <w:r>
        <w:t xml:space="preserve">instead. The lint pass in</w:t>
      </w:r>
      <w:r>
        <w:t xml:space="preserve"> </w:t>
      </w:r>
      <w:r>
        <w:rPr>
          <w:rStyle w:val="VerbatimChar"/>
        </w:rPr>
        <w:t xml:space="preserve">render.py</w:t>
      </w:r>
      <w:r>
        <w:t xml:space="preserve"> </w:t>
      </w:r>
      <w:r>
        <w:t xml:space="preserve">refuses</w:t>
      </w:r>
      <w:r>
        <w:t xml:space="preserve"> </w:t>
      </w:r>
      <w:r>
        <w:t xml:space="preserve">to build a report that breaks this rule.</w:t>
      </w:r>
    </w:p>
    <w:bookmarkStart w:id="13" w:name="a-wider-table"/>
    <w:p>
      <w:pPr>
        <w:pStyle w:val="Heading2"/>
      </w:pPr>
      <w:r>
        <w:t xml:space="preserve">2.1 A wider table</w:t>
      </w:r>
    </w:p>
    <w:p>
      <w:pPr>
        <w:pStyle w:val="FirstParagraph"/>
        <w:keepNext/>
      </w:pPr>
      <w:r>
        <w:rPr>
          <w:b/>
          <w:bCs/>
        </w:rPr>
        <w:t xml:space="preserve">Table 2. Indicator values by round and region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rPr>
        <w:tc>
          <w:tcPr>
            <w:shd w:val="clear" w:color="auto" w:fill="008CCC"/>
          </w:tcPr>
          <w:p>
            <w:pPr>
              <w:pStyle w:val="Compact"/>
              <w:keepNext/>
            </w:pPr>
            <w:r>
              <w:rPr>
                <w:rFonts w:ascii="Arial" w:hAnsi="Arial" w:cs="Arial" w:eastAsia="Arial"/>
                <w:b/>
                <w:bCs/>
                <w:color w:val="FFFFFF"/>
                <w:sz w:val="18"/>
                <w:szCs w:val="18"/>
              </w:rPr>
              <w:t xml:space="preserve">Indicator</w:t>
            </w:r>
          </w:p>
        </w:tc>
        <w:tc>
          <w:tcPr>
            <w:shd w:val="clear" w:color="auto" w:fill="008CCC"/>
          </w:tcPr>
          <w:p>
            <w:pPr>
              <w:pStyle w:val="Compact"/>
              <w:keepNext/>
            </w:pPr>
            <w:r>
              <w:rPr>
                <w:rFonts w:ascii="Arial" w:hAnsi="Arial" w:cs="Arial" w:eastAsia="Arial"/>
                <w:b/>
                <w:bCs/>
                <w:color w:val="FFFFFF"/>
                <w:sz w:val="18"/>
                <w:szCs w:val="18"/>
              </w:rPr>
              <w:t xml:space="preserve">North BL</w:t>
            </w:r>
          </w:p>
        </w:tc>
        <w:tc>
          <w:tcPr>
            <w:shd w:val="clear" w:color="auto" w:fill="008CCC"/>
          </w:tcPr>
          <w:p>
            <w:pPr>
              <w:pStyle w:val="Compact"/>
              <w:keepNext/>
            </w:pPr>
            <w:r>
              <w:rPr>
                <w:rFonts w:ascii="Arial" w:hAnsi="Arial" w:cs="Arial" w:eastAsia="Arial"/>
                <w:b/>
                <w:bCs/>
                <w:color w:val="FFFFFF"/>
                <w:sz w:val="18"/>
                <w:szCs w:val="18"/>
              </w:rPr>
              <w:t xml:space="preserve">North ML</w:t>
            </w:r>
          </w:p>
        </w:tc>
        <w:tc>
          <w:tcPr>
            <w:shd w:val="clear" w:color="auto" w:fill="008CCC"/>
          </w:tcPr>
          <w:p>
            <w:pPr>
              <w:pStyle w:val="Compact"/>
              <w:keepNext/>
            </w:pPr>
            <w:r>
              <w:rPr>
                <w:rFonts w:ascii="Arial" w:hAnsi="Arial" w:cs="Arial" w:eastAsia="Arial"/>
                <w:b/>
                <w:bCs/>
                <w:color w:val="FFFFFF"/>
                <w:sz w:val="18"/>
                <w:szCs w:val="18"/>
              </w:rPr>
              <w:t xml:space="preserve">South BL</w:t>
            </w:r>
          </w:p>
        </w:tc>
        <w:tc>
          <w:tcPr>
            <w:shd w:val="clear" w:color="auto" w:fill="008CCC"/>
          </w:tcPr>
          <w:p>
            <w:pPr>
              <w:pStyle w:val="Compact"/>
              <w:keepNext/>
            </w:pPr>
            <w:r>
              <w:rPr>
                <w:rFonts w:ascii="Arial" w:hAnsi="Arial" w:cs="Arial" w:eastAsia="Arial"/>
                <w:b/>
                <w:bCs/>
                <w:color w:val="FFFFFF"/>
                <w:sz w:val="18"/>
                <w:szCs w:val="18"/>
              </w:rPr>
              <w:t xml:space="preserve">South ML</w:t>
            </w:r>
          </w:p>
        </w:tc>
        <w:tc>
          <w:tcPr>
            <w:shd w:val="clear" w:color="auto" w:fill="008CCC"/>
          </w:tcPr>
          <w:p>
            <w:pPr>
              <w:pStyle w:val="Compact"/>
              <w:keepNext/>
            </w:pPr>
            <w:r>
              <w:rPr>
                <w:rFonts w:ascii="Arial" w:hAnsi="Arial" w:cs="Arial" w:eastAsia="Arial"/>
                <w:b/>
                <w:bCs/>
                <w:color w:val="FFFFFF"/>
                <w:sz w:val="18"/>
                <w:szCs w:val="18"/>
              </w:rPr>
              <w:t xml:space="preserve">Change</w:t>
            </w:r>
          </w:p>
        </w:tc>
      </w:tr>
      <w:tr>
        <w:trPr>
          <w:cantSplit/>
        </w:trPr>
        <w:tc>
          <w:tcPr>
            <w:shd w:val="clear" w:color="auto" w:fill="FFFFFF"/>
          </w:tcPr>
          <w:p>
            <w:pPr>
              <w:pStyle w:val="Compact"/>
            </w:pPr>
            <w:r>
              <w:rPr>
                <w:rFonts w:ascii="Arial" w:hAnsi="Arial" w:cs="Arial" w:eastAsia="Arial"/>
                <w:color w:val="000000"/>
                <w:sz w:val="18"/>
                <w:szCs w:val="18"/>
              </w:rPr>
              <w:t xml:space="preserve">Food consumption score</w:t>
            </w:r>
          </w:p>
        </w:tc>
        <w:tc>
          <w:tcPr>
            <w:shd w:val="clear" w:color="auto" w:fill="FFFFFF"/>
          </w:tcPr>
          <w:p>
            <w:pPr>
              <w:pStyle w:val="Compact"/>
            </w:pPr>
            <w:r>
              <w:rPr>
                <w:rFonts w:ascii="Arial" w:hAnsi="Arial" w:cs="Arial" w:eastAsia="Arial"/>
                <w:color w:val="000000"/>
                <w:sz w:val="18"/>
                <w:szCs w:val="18"/>
              </w:rPr>
              <w:t xml:space="preserve">41.2</w:t>
            </w:r>
          </w:p>
        </w:tc>
        <w:tc>
          <w:tcPr>
            <w:shd w:val="clear" w:color="auto" w:fill="FFFFFF"/>
          </w:tcPr>
          <w:p>
            <w:pPr>
              <w:pStyle w:val="Compact"/>
            </w:pPr>
            <w:r>
              <w:rPr>
                <w:rFonts w:ascii="Arial" w:hAnsi="Arial" w:cs="Arial" w:eastAsia="Arial"/>
                <w:color w:val="000000"/>
                <w:sz w:val="18"/>
                <w:szCs w:val="18"/>
              </w:rPr>
              <w:t xml:space="preserve">46.8</w:t>
            </w:r>
          </w:p>
        </w:tc>
        <w:tc>
          <w:tcPr>
            <w:shd w:val="clear" w:color="auto" w:fill="FFFFFF"/>
          </w:tcPr>
          <w:p>
            <w:pPr>
              <w:pStyle w:val="Compact"/>
            </w:pPr>
            <w:r>
              <w:rPr>
                <w:rFonts w:ascii="Arial" w:hAnsi="Arial" w:cs="Arial" w:eastAsia="Arial"/>
                <w:color w:val="000000"/>
                <w:sz w:val="18"/>
                <w:szCs w:val="18"/>
              </w:rPr>
              <w:t xml:space="preserve">38.9</w:t>
            </w:r>
          </w:p>
        </w:tc>
        <w:tc>
          <w:tcPr>
            <w:shd w:val="clear" w:color="auto" w:fill="FFFFFF"/>
          </w:tcPr>
          <w:p>
            <w:pPr>
              <w:pStyle w:val="Compact"/>
            </w:pPr>
            <w:r>
              <w:rPr>
                <w:rFonts w:ascii="Arial" w:hAnsi="Arial" w:cs="Arial" w:eastAsia="Arial"/>
                <w:color w:val="000000"/>
                <w:sz w:val="18"/>
                <w:szCs w:val="18"/>
              </w:rPr>
              <w:t xml:space="preserve">44.1</w:t>
            </w:r>
          </w:p>
        </w:tc>
        <w:tc>
          <w:tcPr>
            <w:shd w:val="clear" w:color="auto" w:fill="FFFFFF"/>
          </w:tcPr>
          <w:p>
            <w:pPr>
              <w:pStyle w:val="Compact"/>
            </w:pPr>
            <w:r>
              <w:rPr>
                <w:rFonts w:ascii="Arial" w:hAnsi="Arial" w:cs="Arial" w:eastAsia="Arial"/>
                <w:color w:val="000000"/>
                <w:sz w:val="18"/>
                <w:szCs w:val="18"/>
              </w:rPr>
              <w:t xml:space="preserve">+5.4</w:t>
            </w:r>
          </w:p>
        </w:tc>
      </w:tr>
      <w:tr>
        <w:trPr>
          <w:cantSplit/>
        </w:trPr>
        <w:tc>
          <w:tcPr>
            <w:shd w:val="clear" w:color="auto" w:fill="D4E2E9"/>
          </w:tcPr>
          <w:p>
            <w:pPr>
              <w:pStyle w:val="Compact"/>
            </w:pPr>
            <w:r>
              <w:rPr>
                <w:rFonts w:ascii="Arial" w:hAnsi="Arial" w:cs="Arial" w:eastAsia="Arial"/>
                <w:color w:val="000000"/>
                <w:sz w:val="18"/>
                <w:szCs w:val="18"/>
              </w:rPr>
              <w:t xml:space="preserve">Coping strategies index</w:t>
            </w:r>
          </w:p>
        </w:tc>
        <w:tc>
          <w:tcPr>
            <w:shd w:val="clear" w:color="auto" w:fill="D4E2E9"/>
          </w:tcPr>
          <w:p>
            <w:pPr>
              <w:pStyle w:val="Compact"/>
            </w:pPr>
            <w:r>
              <w:rPr>
                <w:rFonts w:ascii="Arial" w:hAnsi="Arial" w:cs="Arial" w:eastAsia="Arial"/>
                <w:color w:val="000000"/>
                <w:sz w:val="18"/>
                <w:szCs w:val="18"/>
              </w:rPr>
              <w:t xml:space="preserve">12.6</w:t>
            </w:r>
          </w:p>
        </w:tc>
        <w:tc>
          <w:tcPr>
            <w:shd w:val="clear" w:color="auto" w:fill="D4E2E9"/>
          </w:tcPr>
          <w:p>
            <w:pPr>
              <w:pStyle w:val="Compact"/>
            </w:pPr>
            <w:r>
              <w:rPr>
                <w:rFonts w:ascii="Arial" w:hAnsi="Arial" w:cs="Arial" w:eastAsia="Arial"/>
                <w:color w:val="000000"/>
                <w:sz w:val="18"/>
                <w:szCs w:val="18"/>
              </w:rPr>
              <w:t xml:space="preserve">9.4</w:t>
            </w:r>
          </w:p>
        </w:tc>
        <w:tc>
          <w:tcPr>
            <w:shd w:val="clear" w:color="auto" w:fill="D4E2E9"/>
          </w:tcPr>
          <w:p>
            <w:pPr>
              <w:pStyle w:val="Compact"/>
            </w:pPr>
            <w:r>
              <w:rPr>
                <w:rFonts w:ascii="Arial" w:hAnsi="Arial" w:cs="Arial" w:eastAsia="Arial"/>
                <w:color w:val="000000"/>
                <w:sz w:val="18"/>
                <w:szCs w:val="18"/>
              </w:rPr>
              <w:t xml:space="preserve">14.1</w:t>
            </w:r>
          </w:p>
        </w:tc>
        <w:tc>
          <w:tcPr>
            <w:shd w:val="clear" w:color="auto" w:fill="D4E2E9"/>
          </w:tcPr>
          <w:p>
            <w:pPr>
              <w:pStyle w:val="Compact"/>
            </w:pPr>
            <w:r>
              <w:rPr>
                <w:rFonts w:ascii="Arial" w:hAnsi="Arial" w:cs="Arial" w:eastAsia="Arial"/>
                <w:color w:val="000000"/>
                <w:sz w:val="18"/>
                <w:szCs w:val="18"/>
              </w:rPr>
              <w:t xml:space="preserve">10.2</w:t>
            </w:r>
          </w:p>
        </w:tc>
        <w:tc>
          <w:tcPr>
            <w:shd w:val="clear" w:color="auto" w:fill="D4E2E9"/>
          </w:tcPr>
          <w:p>
            <w:pPr>
              <w:pStyle w:val="Compact"/>
            </w:pPr>
            <w:r>
              <w:rPr>
                <w:rFonts w:ascii="Arial" w:hAnsi="Arial" w:cs="Arial" w:eastAsia="Arial"/>
                <w:color w:val="000000"/>
                <w:sz w:val="18"/>
                <w:szCs w:val="18"/>
              </w:rPr>
              <w:t xml:space="preserve">−3.6</w:t>
            </w:r>
          </w:p>
        </w:tc>
      </w:tr>
      <w:tr>
        <w:trPr>
          <w:cantSplit/>
        </w:trPr>
        <w:tc>
          <w:tcPr>
            <w:shd w:val="clear" w:color="auto" w:fill="FFFFFF"/>
          </w:tcPr>
          <w:p>
            <w:pPr>
              <w:pStyle w:val="Compact"/>
            </w:pPr>
            <w:r>
              <w:rPr>
                <w:rFonts w:ascii="Arial" w:hAnsi="Arial" w:cs="Arial" w:eastAsia="Arial"/>
                <w:color w:val="000000"/>
                <w:sz w:val="18"/>
                <w:szCs w:val="18"/>
              </w:rPr>
              <w:t xml:space="preserve">Households with savings</w:t>
            </w:r>
          </w:p>
        </w:tc>
        <w:tc>
          <w:tcPr>
            <w:shd w:val="clear" w:color="auto" w:fill="FFFFFF"/>
          </w:tcPr>
          <w:p>
            <w:pPr>
              <w:pStyle w:val="Compact"/>
            </w:pPr>
            <w:r>
              <w:rPr>
                <w:rFonts w:ascii="Arial" w:hAnsi="Arial" w:cs="Arial" w:eastAsia="Arial"/>
                <w:color w:val="000000"/>
                <w:sz w:val="18"/>
                <w:szCs w:val="18"/>
              </w:rPr>
              <w:t xml:space="preserve">18%</w:t>
            </w:r>
          </w:p>
        </w:tc>
        <w:tc>
          <w:tcPr>
            <w:shd w:val="clear" w:color="auto" w:fill="FFFFFF"/>
          </w:tcPr>
          <w:p>
            <w:pPr>
              <w:pStyle w:val="Compact"/>
            </w:pPr>
            <w:r>
              <w:rPr>
                <w:rFonts w:ascii="Arial" w:hAnsi="Arial" w:cs="Arial" w:eastAsia="Arial"/>
                <w:color w:val="000000"/>
                <w:sz w:val="18"/>
                <w:szCs w:val="18"/>
              </w:rPr>
              <w:t xml:space="preserve">31%</w:t>
            </w:r>
          </w:p>
        </w:tc>
        <w:tc>
          <w:tcPr>
            <w:shd w:val="clear" w:color="auto" w:fill="FFFFFF"/>
          </w:tcPr>
          <w:p>
            <w:pPr>
              <w:pStyle w:val="Compact"/>
            </w:pPr>
            <w:r>
              <w:rPr>
                <w:rFonts w:ascii="Arial" w:hAnsi="Arial" w:cs="Arial" w:eastAsia="Arial"/>
                <w:color w:val="000000"/>
                <w:sz w:val="18"/>
                <w:szCs w:val="18"/>
              </w:rPr>
              <w:t xml:space="preserve">15%</w:t>
            </w:r>
          </w:p>
        </w:tc>
        <w:tc>
          <w:tcPr>
            <w:shd w:val="clear" w:color="auto" w:fill="FFFFFF"/>
          </w:tcPr>
          <w:p>
            <w:pPr>
              <w:pStyle w:val="Compact"/>
            </w:pPr>
            <w:r>
              <w:rPr>
                <w:rFonts w:ascii="Arial" w:hAnsi="Arial" w:cs="Arial" w:eastAsia="Arial"/>
                <w:color w:val="000000"/>
                <w:sz w:val="18"/>
                <w:szCs w:val="18"/>
              </w:rPr>
              <w:t xml:space="preserve">27%</w:t>
            </w:r>
          </w:p>
        </w:tc>
        <w:tc>
          <w:tcPr>
            <w:shd w:val="clear" w:color="auto" w:fill="FFFFFF"/>
          </w:tcPr>
          <w:p>
            <w:pPr>
              <w:pStyle w:val="Compact"/>
            </w:pPr>
            <w:r>
              <w:rPr>
                <w:rFonts w:ascii="Arial" w:hAnsi="Arial" w:cs="Arial" w:eastAsia="Arial"/>
                <w:color w:val="000000"/>
                <w:sz w:val="18"/>
                <w:szCs w:val="18"/>
              </w:rPr>
              <w:t xml:space="preserve">+12pp</w:t>
            </w:r>
          </w:p>
        </w:tc>
      </w:tr>
    </w:tbl>
    <w:bookmarkEnd w:id="12"/>
    <w:bookmarkEnd w:id="13"/>
    <w:bookmarkStart w:id="14" w:name="figures"/>
    <w:p>
      <w:pPr>
        <w:pStyle w:val="Heading1"/>
      </w:pPr>
      <w:r>
        <w:t xml:space="preserve">3.0 FIGURES</w:t>
      </w:r>
    </w:p>
    <w:p>
      <w:pPr>
        <w:pStyle w:val="FirstParagraph"/>
      </w:pPr>
      <w:r>
        <w:t xml:space="preserve">Figures follow the same convention: a bold numbered title above the image.</w:t>
      </w:r>
    </w:p>
    <w:p>
      <w:pPr>
        <w:pStyle w:val="BodyText"/>
      </w:pPr>
      <w:r>
        <w:rPr>
          <w:b/>
          <w:bCs/>
        </w:rPr>
        <w:t xml:space="preserve">Figure 1. Illustrative trend</w:t>
      </w:r>
    </w:p>
    <w:p>
      <w:pPr>
        <w:pStyle w:val="BodyText"/>
      </w:pPr>
      <w:r>
        <w:rPr>
          <w:i/>
          <w:iCs/>
        </w:rPr>
        <w:t xml:space="preserve">[An image would sit here, inserted as</w:t>
      </w:r>
      <w:r>
        <w:rPr>
          <w:i/>
          <w:iCs/>
        </w:rPr>
        <w:t xml:space="preserve"> </w:t>
      </w:r>
      <w:r>
        <w:rPr>
          <w:rStyle w:val="VerbatimChar"/>
          <w:i/>
          <w:iCs/>
        </w:rPr>
        <w:t xml:space="preserve">![](path/to/figure.png){width=6.5in}</w:t>
      </w:r>
      <w:r>
        <w:rPr>
          <w:i/>
          <w:iCs/>
        </w:rPr>
        <w:t xml:space="preserve">.</w:t>
      </w:r>
      <w:r>
        <w:rPr>
          <w:i/>
          <w:iCs/>
        </w:rPr>
        <w:t xml:space="preserve"> </w:t>
      </w:r>
      <w:r>
        <w:rPr>
          <w:i/>
          <w:iCs/>
        </w:rPr>
        <w:t xml:space="preserve">Figures belong in the project’s own outputs folder and are produced by a script,</w:t>
      </w:r>
      <w:r>
        <w:rPr>
          <w:i/>
          <w:iCs/>
        </w:rPr>
        <w:t xml:space="preserve"> </w:t>
      </w:r>
      <w:r>
        <w:rPr>
          <w:i/>
          <w:iCs/>
        </w:rPr>
        <w:t xml:space="preserve">not drawn by hand.]</w:t>
      </w:r>
    </w:p>
    <w:bookmarkEnd w:id="14"/>
    <w:bookmarkStart w:id="15" w:name="mathematics"/>
    <w:p>
      <w:pPr>
        <w:pStyle w:val="Heading1"/>
      </w:pPr>
      <w:r>
        <w:t xml:space="preserve">4.0 MATHEMATICS</w:t>
      </w:r>
    </w:p>
    <w:p>
      <w:pPr>
        <w:pStyle w:val="FirstParagraph"/>
      </w:pPr>
      <w:r>
        <w:t xml:space="preserve">Inline mathematics works: the design effect is</w:t>
      </w:r>
      <w:r>
        <w:t xml:space="preserve"> </w:t>
      </w:r>
      <m:oMath>
        <m:r>
          <m:t>1</m:t>
        </m:r>
        <m:r>
          <m:rPr>
            <m:sty m:val="p"/>
          </m:rPr>
          <m:t>+</m:t>
        </m:r>
        <m:r>
          <m:rPr>
            <m:sty m:val="p"/>
          </m:rPr>
          <m:t>(</m:t>
        </m:r>
        <m:r>
          <m:t>m</m:t>
        </m:r>
        <m:r>
          <m:rPr>
            <m:sty m:val="p"/>
          </m:rPr>
          <m:t>−</m:t>
        </m:r>
        <m:r>
          <m:t>1</m:t>
        </m:r>
        <m:r>
          <m:rPr>
            <m:sty m:val="p"/>
          </m:rPr>
          <m:t>)</m:t>
        </m:r>
        <m:r>
          <m:t>ρ</m:t>
        </m:r>
      </m:oMath>
      <w:r>
        <w:t xml:space="preserve">, where</w:t>
      </w:r>
      <w:r>
        <w:t xml:space="preserve"> </w:t>
      </w:r>
      <m:oMath>
        <m:r>
          <m:t>ρ</m:t>
        </m:r>
      </m:oMath>
      <w:r>
        <w:t xml:space="preserve"> </w:t>
      </w:r>
      <w:r>
        <w:t xml:space="preserve">is</w:t>
      </w:r>
      <w:r>
        <w:t xml:space="preserve"> </w:t>
      </w:r>
      <w:r>
        <w:t xml:space="preserve">the intra-cluster correlation.</w:t>
      </w:r>
    </w:p>
    <w:p>
      <w:pPr>
        <w:pStyle w:val="BodyText"/>
      </w:pPr>
      <w:r>
        <w:t xml:space="preserve">Display equations render as native, editable Word equations rather than images:</w:t>
      </w:r>
    </w:p>
    <w:p>
      <w:pPr>
        <w:pStyle w:val="BodyText"/>
      </w:pPr>
      <m:oMathPara>
        <m:oMathParaPr>
          <m:jc m:val="center"/>
        </m:oMathParaPr>
        <m:oMath>
          <m:r>
            <m:t>M</m:t>
          </m:r>
          <m:r>
            <m:t>D</m:t>
          </m:r>
          <m:r>
            <m:t>E</m:t>
          </m:r>
          <m:r>
            <m:rPr>
              <m:sty m:val="p"/>
            </m:rPr>
            <m:t>=</m:t>
          </m:r>
          <m:r>
            <m:rPr>
              <m:sty m:val="p"/>
            </m:rPr>
            <m:t>(</m:t>
          </m:r>
          <m:sSub>
            <m:e>
              <m:r>
                <m:t>t</m:t>
              </m:r>
            </m:e>
            <m:sub>
              <m:r>
                <m:t>1</m:t>
              </m:r>
              <m:r>
                <m:rPr>
                  <m:sty m:val="p"/>
                </m:rPr>
                <m:t>−</m:t>
              </m:r>
              <m:r>
                <m:t>κ</m:t>
              </m:r>
            </m:sub>
          </m:sSub>
          <m:r>
            <m:rPr>
              <m:sty m:val="p"/>
            </m:rPr>
            <m:t>+</m:t>
          </m:r>
          <m:sSub>
            <m:e>
              <m:r>
                <m:t>t</m:t>
              </m:r>
            </m:e>
            <m:sub>
              <m:r>
                <m:t>α</m:t>
              </m:r>
              <m:r>
                <m:rPr>
                  <m:sty m:val="p"/>
                </m:rPr>
                <m:t>/</m:t>
              </m:r>
              <m:r>
                <m:t>2</m:t>
              </m:r>
            </m:sub>
          </m:sSub>
          <m:r>
            <m:rPr>
              <m:sty m:val="p"/>
            </m:rPr>
            <m:t>)</m:t>
          </m:r>
          <m:rad>
            <m:radPr>
              <m:degHide m:val="on"/>
            </m:radPr>
            <m:deg/>
            <m:e>
              <m:f>
                <m:fPr>
                  <m:type m:val="bar"/>
                </m:fPr>
                <m:num>
                  <m:r>
                    <m:t>1</m:t>
                  </m:r>
                </m:num>
                <m:den>
                  <m:r>
                    <m:t>P</m:t>
                  </m:r>
                  <m:r>
                    <m:rPr>
                      <m:sty m:val="p"/>
                    </m:rPr>
                    <m:t>(</m:t>
                  </m:r>
                  <m:r>
                    <m:t>1</m:t>
                  </m:r>
                  <m:r>
                    <m:rPr>
                      <m:sty m:val="p"/>
                    </m:rPr>
                    <m:t>−</m:t>
                  </m:r>
                  <m:r>
                    <m:t>P</m:t>
                  </m:r>
                  <m:r>
                    <m:rPr>
                      <m:sty m:val="p"/>
                    </m:rPr>
                    <m:t>)</m:t>
                  </m:r>
                </m:den>
              </m:f>
              <m:r>
                <m:rPr>
                  <m:sty m:val="p"/>
                </m:rPr>
                <m:t>⋅</m:t>
              </m:r>
              <m:f>
                <m:fPr>
                  <m:type m:val="bar"/>
                </m:fPr>
                <m:num>
                  <m:sSup>
                    <m:e>
                      <m:r>
                        <m:t>σ</m:t>
                      </m:r>
                    </m:e>
                    <m:sup>
                      <m:r>
                        <m:t>2</m:t>
                      </m:r>
                    </m:sup>
                  </m:sSup>
                </m:num>
                <m:den>
                  <m:r>
                    <m:t>N</m:t>
                  </m:r>
                </m:den>
              </m:f>
            </m:e>
          </m:rad>
        </m:oMath>
      </m:oMathPara>
    </w:p>
    <w:bookmarkEnd w:id="15"/>
    <w:bookmarkStart w:id="16" w:name="other-elements"/>
    <w:p>
      <w:pPr>
        <w:pStyle w:val="Heading1"/>
      </w:pPr>
      <w:r>
        <w:t xml:space="preserve">5.0 OTHER ELEMENTS</w:t>
      </w:r>
    </w:p>
    <w:p>
      <w:pPr>
        <w:pStyle w:val="FirstParagraph"/>
      </w:pPr>
      <w:r>
        <w:t xml:space="preserve">A block quotation:</w:t>
      </w:r>
    </w:p>
    <w:p>
      <w:pPr>
        <w:pStyle w:val="BlockText"/>
      </w:pPr>
      <w:r>
        <w:t xml:space="preserve">Evidence from the first phase shows the approach is ready for replication.</w:t>
      </w:r>
    </w:p>
    <w:p>
      <w:pPr>
        <w:pStyle w:val="FirstParagraph"/>
      </w:pPr>
      <w:r>
        <w:t xml:space="preserve">A footnote reference sits at the end of a sentence.</w:t>
      </w:r>
      <w:r>
        <w:rPr>
          <w:rStyle w:val="FootnoteReference"/>
        </w:rPr>
        <w:footnoteReference w:id="3"/>
      </w:r>
    </w:p>
    <w:p>
      <w:pPr>
        <w:pStyle w:val="BodyText"/>
      </w:pPr>
      <w:r>
        <w:t xml:space="preserve">Bold,</w:t>
      </w:r>
      <w:r>
        <w:t xml:space="preserve"> </w:t>
      </w:r>
      <w:r>
        <w:rPr>
          <w:i/>
          <w:iCs/>
        </w:rPr>
        <w:t xml:space="preserve">italic</w:t>
      </w:r>
      <w:r>
        <w:t xml:space="preserve">, and</w:t>
      </w:r>
      <w:r>
        <w:t xml:space="preserve"> </w:t>
      </w:r>
      <w:r>
        <w:rPr>
          <w:rStyle w:val="VerbatimChar"/>
        </w:rPr>
        <w:t xml:space="preserve">inline code</w:t>
      </w:r>
      <w:r>
        <w:t xml:space="preserve"> </w:t>
      </w:r>
      <w:r>
        <w:t xml:space="preserve">all behave normally.</w:t>
      </w:r>
    </w:p>
    <w:bookmarkEnd w:id="16"/>
    <w:sectPr w:rsidR="00933EC7">
      <w:headerReference w:type="default" r:id="rId17"/>
      <w:footerReference w:type="default" r:id="rId18"/>
      <w:pgSz w:w="12240" w:h="15840"/>
      <w:pgMar w:top="720" w:right="1008" w:bottom="1224"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00D70A" w14:textId="77777777" w:rsidR="00933EC7" w:rsidRDefault="00933EC7">
      <w:pPr>
        <w:spacing w:after="0" w:line="240" w:lineRule="auto"/>
      </w:pPr>
      <w:r>
        <w:separator/>
      </w:r>
    </w:p>
  </w:endnote>
  <w:endnote w:type="continuationSeparator" w:id="0">
    <w:p w14:paraId="013D8DB1" w14:textId="77777777" w:rsidR="00933EC7" w:rsidRDefault="00933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9F0E5" w14:textId="77777777" w:rsidR="002F11B4" w:rsidRDefault="002F11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516A0" w14:textId="77777777" w:rsidR="002F11B4" w:rsidRDefault="002F11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847C5" w14:textId="77777777" w:rsidR="002F11B4" w:rsidRDefault="002F11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B02E7" w14:textId="77777777" w:rsidR="007C419E" w:rsidRDefault="007C419E"/>
  <w:tbl>
    <w:tblPr>
      <w:tblStyle w:val="a3"/>
      <w:tblW w:w="10152"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0152"/>
    </w:tblGrid>
    <w:tr w:rsidR="007C419E" w14:paraId="4DF11A9A" w14:textId="77777777">
      <w:trPr>
        <w:trHeight w:val="2280"/>
        <w:jc w:val="center"/>
      </w:trPr>
      <w:tc>
        <w:tcPr>
          <w:tcW w:w="10152" w:type="dxa"/>
        </w:tcPr>
        <w:p w14:paraId="0FFB18CF" w14:textId="77777777" w:rsidR="007C419E" w:rsidRDefault="00000000">
          <w:r>
            <w:t>Causal Design partners with international development clients to provide rigorous independent program evaluation, expand cultures of evidence within organizations, and join them in efforts to relieve human suffering and end poverty.</w:t>
          </w:r>
        </w:p>
        <w:p w14:paraId="2EF37C37" w14:textId="3C3CCC87" w:rsidR="007C419E" w:rsidRDefault="00B53E34" w:rsidP="00B53E34">
          <w:pPr>
            <w:jc w:val="left"/>
          </w:pPr>
          <w:r>
            <w:t>1031 33</w:t>
          </w:r>
          <w:r w:rsidRPr="00B53E34">
            <w:rPr>
              <w:vertAlign w:val="superscript"/>
            </w:rPr>
            <w:t>rd</w:t>
          </w:r>
          <w:r>
            <w:t xml:space="preserve"> St. </w:t>
          </w:r>
          <w:r w:rsidR="00000000">
            <w:br/>
          </w:r>
          <w:r>
            <w:t>Denver</w:t>
          </w:r>
          <w:r w:rsidR="00000000">
            <w:t>, CO 80</w:t>
          </w:r>
          <w:r>
            <w:t>205</w:t>
          </w:r>
          <w:r w:rsidR="00000000">
            <w:t>, USA</w:t>
          </w:r>
          <w:r w:rsidR="00000000">
            <w:br/>
            <w:t>Tel: +1 (720) 260 4837</w:t>
          </w:r>
          <w:r w:rsidR="00000000">
            <w:br/>
            <w:t>Email: Info@CausalDesign.com</w:t>
          </w:r>
          <w:r w:rsidR="00000000">
            <w:rPr>
              <w:noProof/>
            </w:rPr>
            <w:drawing>
              <wp:anchor distT="0" distB="0" distL="0" distR="0" simplePos="0" relativeHeight="251661312" behindDoc="1" locked="0" layoutInCell="1" hidden="0" allowOverlap="1" wp14:anchorId="60AB8F30" wp14:editId="30A11C79">
                <wp:simplePos x="0" y="0"/>
                <wp:positionH relativeFrom="column">
                  <wp:posOffset>4803775</wp:posOffset>
                </wp:positionH>
                <wp:positionV relativeFrom="paragraph">
                  <wp:posOffset>126598</wp:posOffset>
                </wp:positionV>
                <wp:extent cx="1590675" cy="55753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
                        <a:srcRect/>
                        <a:stretch>
                          <a:fillRect/>
                        </a:stretch>
                      </pic:blipFill>
                      <pic:spPr>
                        <a:xfrm>
                          <a:off x="0" y="0"/>
                          <a:ext cx="1590675" cy="557530"/>
                        </a:xfrm>
                        <a:prstGeom prst="rect">
                          <a:avLst/>
                        </a:prstGeom>
                        <a:ln/>
                      </pic:spPr>
                    </pic:pic>
                  </a:graphicData>
                </a:graphic>
              </wp:anchor>
            </w:drawing>
          </w:r>
          <w:r w:rsidR="00000000">
            <w:rPr>
              <w:noProof/>
            </w:rPr>
            <w:drawing>
              <wp:anchor distT="114300" distB="114300" distL="114300" distR="114300" simplePos="0" relativeHeight="251662336" behindDoc="0" locked="0" layoutInCell="1" hidden="0" allowOverlap="1" wp14:anchorId="2FCE2759" wp14:editId="12C84F8F">
                <wp:simplePos x="0" y="0"/>
                <wp:positionH relativeFrom="column">
                  <wp:posOffset>4781550</wp:posOffset>
                </wp:positionH>
                <wp:positionV relativeFrom="paragraph">
                  <wp:posOffset>137520</wp:posOffset>
                </wp:positionV>
                <wp:extent cx="1628775" cy="561975"/>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2"/>
                        <a:srcRect/>
                        <a:stretch>
                          <a:fillRect/>
                        </a:stretch>
                      </pic:blipFill>
                      <pic:spPr>
                        <a:xfrm>
                          <a:off x="0" y="0"/>
                          <a:ext cx="1628775" cy="561975"/>
                        </a:xfrm>
                        <a:prstGeom prst="rect">
                          <a:avLst/>
                        </a:prstGeom>
                        <a:ln/>
                      </pic:spPr>
                    </pic:pic>
                  </a:graphicData>
                </a:graphic>
              </wp:anchor>
            </w:drawing>
          </w:r>
        </w:p>
      </w:tc>
    </w:tr>
  </w:tbl>
  <w:p w14:paraId="359670DE" w14:textId="77777777" w:rsidR="007C419E" w:rsidRDefault="007C419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230EC" w14:textId="77777777" w:rsidR="007C419E" w:rsidRDefault="007C419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C43BD" w14:textId="77777777" w:rsidR="007C419E" w:rsidRDefault="007C419E">
    <w:pPr>
      <w:tabs>
        <w:tab w:val="center" w:pos="4680"/>
        <w:tab w:val="right" w:pos="9360"/>
      </w:tabs>
      <w:spacing w:after="0" w:line="240" w:lineRule="auto"/>
      <w:rPr>
        <w:b/>
        <w:bCs/>
        <w:color w:val="414042"/>
        <w:sz w:val="18"/>
        <w:szCs w:val="18"/>
      </w:rPr>
    </w:pPr>
  </w:p>
  <w:tbl>
    <w:tblPr>
      <w:tblStyle w:val="a4"/>
      <w:tblW w:w="865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710"/>
      <w:gridCol w:w="2610"/>
      <w:gridCol w:w="1335"/>
    </w:tblGrid>
    <w:tr w:rsidR="007C419E" w14:paraId="0FD79A19" w14:textId="77777777">
      <w:trPr>
        <w:jc w:val="center"/>
      </w:trPr>
      <w:tc>
        <w:tcPr>
          <w:tcW w:w="4710" w:type="dxa"/>
        </w:tcPr>
        <w:p w14:paraId="468F8E37" w14:textId="01FDFDC5" w:rsidR="007C419E" w:rsidRDefault="00604BF6">
          <w:pPr>
            <w:tabs>
              <w:tab w:val="right" w:pos="9360"/>
            </w:tabs>
            <w:spacing w:before="0" w:after="0" w:line="240" w:lineRule="auto"/>
            <w:ind w:left="-90"/>
            <w:jc w:val="left"/>
            <w:rPr>
              <w:b/>
              <w:bCs/>
              <w:color w:val="414042"/>
              <w:sz w:val="18"/>
              <w:szCs w:val="18"/>
            </w:rPr>
          </w:pPr>
          <w:r>
            <w:rPr>
              <w:b/>
              <w:bCs/>
              <w:color w:val="414042"/>
              <w:sz w:val="18"/>
              <w:szCs w:val="18"/>
            </w:rPr>
            <w:t>Style Reference</w:t>
          </w:r>
          <w:r w:rsidR="002F11B4">
            <w:rPr>
              <w:b/>
              <w:bCs/>
              <w:color w:val="414042"/>
              <w:sz w:val="18"/>
              <w:szCs w:val="18"/>
            </w:rPr>
            <w:t/>
          </w:r>
          <w:r>
            <w:rPr>
              <w:b/>
              <w:bCs/>
              <w:color w:val="414042"/>
              <w:sz w:val="18"/>
              <w:szCs w:val="18"/>
            </w:rPr>
            <w:t/>
          </w:r>
        </w:p>
      </w:tc>
      <w:tc>
        <w:tcPr>
          <w:tcW w:w="2610" w:type="dxa"/>
        </w:tcPr>
        <w:p w14:paraId="0C4FA4AF" w14:textId="77777777" w:rsidR="007C419E" w:rsidRDefault="00000000">
          <w:pPr>
            <w:tabs>
              <w:tab w:val="center" w:pos="4680"/>
              <w:tab w:val="right" w:pos="9360"/>
            </w:tabs>
            <w:spacing w:before="0" w:after="0" w:line="240" w:lineRule="auto"/>
            <w:jc w:val="center"/>
            <w:rPr>
              <w:b/>
              <w:bCs/>
              <w:color w:val="558AA5"/>
              <w:sz w:val="15"/>
              <w:szCs w:val="15"/>
            </w:rPr>
          </w:pPr>
          <w:r>
            <w:rPr>
              <w:b/>
              <w:bCs/>
              <w:color w:val="558AA5"/>
              <w:sz w:val="15"/>
              <w:szCs w:val="15"/>
            </w:rPr>
            <w:t xml:space="preserve">  |      CAUSAL DESIGN      |  </w:t>
          </w:r>
        </w:p>
      </w:tc>
      <w:tc>
        <w:tcPr>
          <w:tcW w:w="1335" w:type="dxa"/>
        </w:tcPr>
        <w:p w14:paraId="666D72BD" w14:textId="77777777" w:rsidR="007C419E" w:rsidRDefault="00000000">
          <w:pPr>
            <w:tabs>
              <w:tab w:val="center" w:pos="4680"/>
              <w:tab w:val="right" w:pos="9360"/>
            </w:tabs>
            <w:spacing w:before="0" w:after="0" w:line="240" w:lineRule="auto"/>
            <w:jc w:val="left"/>
            <w:rPr>
              <w:b/>
              <w:bCs/>
              <w:color w:val="414042"/>
              <w:sz w:val="18"/>
              <w:szCs w:val="18"/>
            </w:rPr>
          </w:pPr>
          <w:r>
            <w:rPr>
              <w:b/>
              <w:bCs/>
              <w:color w:val="414042"/>
              <w:sz w:val="18"/>
              <w:szCs w:val="18"/>
            </w:rPr>
            <w:fldChar w:fldCharType="begin"/>
          </w:r>
          <w:r>
            <w:rPr>
              <w:b/>
              <w:bCs/>
              <w:color w:val="414042"/>
              <w:sz w:val="18"/>
              <w:szCs w:val="18"/>
            </w:rPr>
            <w:instrText>PAGE</w:instrText>
          </w:r>
          <w:r>
            <w:rPr>
              <w:b/>
              <w:bCs/>
              <w:color w:val="414042"/>
              <w:sz w:val="18"/>
              <w:szCs w:val="18"/>
            </w:rPr>
            <w:fldChar w:fldCharType="separate"/>
          </w:r>
          <w:r w:rsidR="003575EF">
            <w:rPr>
              <w:b/>
              <w:bCs/>
              <w:noProof/>
              <w:color w:val="414042"/>
              <w:sz w:val="18"/>
              <w:szCs w:val="18"/>
            </w:rPr>
            <w:t>5</w:t>
          </w:r>
          <w:r>
            <w:rPr>
              <w:b/>
              <w:bCs/>
              <w:color w:val="414042"/>
              <w:sz w:val="18"/>
              <w:szCs w:val="18"/>
            </w:rPr>
            <w:fldChar w:fldCharType="end"/>
          </w:r>
        </w:p>
      </w:tc>
    </w:tr>
  </w:tbl>
  <w:p w14:paraId="5D3F77F6" w14:textId="77777777" w:rsidR="007C419E" w:rsidRDefault="007C419E">
    <w:pPr>
      <w:tabs>
        <w:tab w:val="center" w:pos="4680"/>
        <w:tab w:val="right" w:pos="9360"/>
      </w:tabs>
      <w:spacing w:after="0" w:line="240" w:lineRule="auto"/>
      <w:rPr>
        <w:b/>
        <w:bCs/>
        <w:color w:val="414042"/>
        <w:sz w:val="18"/>
        <w:szCs w:val="18"/>
      </w:rPr>
    </w:pPr>
  </w:p>
  <w:p w14:paraId="66EA1220" w14:textId="77777777" w:rsidR="007C419E" w:rsidRDefault="007C41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7F1D8" w14:textId="77777777" w:rsidR="00933EC7" w:rsidRDefault="00933EC7">
      <w:pPr>
        <w:spacing w:after="0" w:line="240" w:lineRule="auto"/>
      </w:pPr>
      <w:r>
        <w:separator/>
      </w:r>
    </w:p>
  </w:footnote>
  <w:footnote w:type="continuationSeparator" w:id="0">
    <w:p w14:paraId="404B7162" w14:textId="77777777" w:rsidR="00933EC7" w:rsidRDefault="00933EC7">
      <w:pPr>
        <w:spacing w:after="0" w:line="240" w:lineRule="auto"/>
      </w:pPr>
      <w:r>
        <w:continuationSeparator/>
      </w:r>
    </w:p>
  </w:footnote>
  <w:footnote w:id="3">
    <w:p>
      <w:pPr>
        <w:pStyle w:val="FootnoteText"/>
      </w:pPr>
      <w:r>
        <w:rPr>
          <w:rStyle w:val="FootnoteReference"/>
        </w:rPr>
        <w:footnoteRef/>
      </w:r>
      <w:r>
        <w:t xml:space="preserve"> </w:t>
      </w:r>
      <w:r>
        <w:t xml:space="preserve">Footnote text appears at the foot of the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6C8C9" w14:textId="77777777" w:rsidR="002F11B4" w:rsidRDefault="002F11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DFC7B" w14:textId="77777777" w:rsidR="007C419E" w:rsidRDefault="00000000">
    <w:r>
      <w:rPr>
        <w:noProof/>
      </w:rPr>
      <w:drawing>
        <wp:anchor distT="0" distB="0" distL="0" distR="0" simplePos="0" relativeHeight="251658240" behindDoc="1" locked="0" layoutInCell="1" hidden="0" allowOverlap="1" wp14:anchorId="38A4D504" wp14:editId="268CC229">
          <wp:simplePos x="0" y="0"/>
          <wp:positionH relativeFrom="page">
            <wp:align>center</wp:align>
          </wp:positionH>
          <wp:positionV relativeFrom="page">
            <wp:align>center</wp:align>
          </wp:positionV>
          <wp:extent cx="7772400" cy="100584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7772400" cy="10058400"/>
                  </a:xfrm>
                  <a:prstGeom prst="rect">
                    <a:avLst/>
                  </a:prstGeom>
                  <a:ln/>
                </pic:spPr>
              </pic:pic>
            </a:graphicData>
          </a:graphic>
        </wp:anchor>
      </w:drawing>
    </w:r>
    <w:r>
      <w:rPr>
        <w:noProof/>
      </w:rPr>
      <w:drawing>
        <wp:anchor distT="0" distB="0" distL="0" distR="0" simplePos="0" relativeHeight="251659264" behindDoc="1" locked="0" layoutInCell="1" hidden="0" allowOverlap="1" wp14:anchorId="01017238" wp14:editId="2F878139">
          <wp:simplePos x="0" y="0"/>
          <wp:positionH relativeFrom="page">
            <wp:align>center</wp:align>
          </wp:positionH>
          <wp:positionV relativeFrom="page">
            <wp:align>center</wp:align>
          </wp:positionV>
          <wp:extent cx="7772399" cy="100584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7772399" cy="100584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7C7527FE" wp14:editId="358C4122">
          <wp:simplePos x="0" y="0"/>
          <wp:positionH relativeFrom="column">
            <wp:posOffset>4276725</wp:posOffset>
          </wp:positionH>
          <wp:positionV relativeFrom="paragraph">
            <wp:posOffset>-28574</wp:posOffset>
          </wp:positionV>
          <wp:extent cx="2427488" cy="83343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3"/>
                  <a:srcRect/>
                  <a:stretch>
                    <a:fillRect/>
                  </a:stretch>
                </pic:blipFill>
                <pic:spPr>
                  <a:xfrm>
                    <a:off x="0" y="0"/>
                    <a:ext cx="2427488" cy="8334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35BCE" w14:textId="77777777" w:rsidR="002F11B4" w:rsidRDefault="002F11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9E118" w14:textId="77777777" w:rsidR="007C419E" w:rsidRDefault="007C419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A75C4" w14:textId="77777777" w:rsidR="007C419E" w:rsidRDefault="00000000">
    <w:r>
      <w:rPr>
        <w:noProof/>
      </w:rPr>
      <mc:AlternateContent>
        <mc:Choice Requires="wps">
          <w:drawing>
            <wp:anchor distT="0" distB="0" distL="0" distR="0" simplePos="0" relativeHeight="251663360" behindDoc="1" locked="0" layoutInCell="1" hidden="0" allowOverlap="1" wp14:anchorId="29A0ECB4" wp14:editId="1DA5815F">
              <wp:simplePos x="0" y="0"/>
              <wp:positionH relativeFrom="margin">
                <wp:align>center</wp:align>
              </wp:positionH>
              <wp:positionV relativeFrom="page">
                <wp:posOffset>-16982</wp:posOffset>
              </wp:positionV>
              <wp:extent cx="7911465" cy="1213473"/>
              <wp:effectExtent l="0" t="0" r="0" b="0"/>
              <wp:wrapNone/>
              <wp:docPr id="4" name="Rectangle 1"/>
              <wp:cNvGraphicFramePr/>
              <a:graphic xmlns:a="http://schemas.openxmlformats.org/drawingml/2006/main">
                <a:graphicData uri="http://schemas.microsoft.com/office/word/2010/wordprocessingShape">
                  <wps:wsp>
                    <wps:cNvSpPr/>
                    <wps:spPr>
                      <a:xfrm>
                        <a:off x="1414080" y="3185640"/>
                        <a:ext cx="7863840" cy="1188720"/>
                      </a:xfrm>
                      <a:prstGeom prst="rect">
                        <a:avLst/>
                      </a:prstGeom>
                      <a:solidFill>
                        <a:srgbClr val="B6DAEC"/>
                      </a:solidFill>
                      <a:ln>
                        <a:noFill/>
                      </a:ln>
                    </wps:spPr>
                    <wps:txbx>
                      <w:txbxContent>
                        <w:p w14:paraId="31CA2A3E" w14:textId="77777777" w:rsidR="007C419E" w:rsidRDefault="007C419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9A0ECB4" id="Rectangle 1" o:spid="_x0000_s1026" style="position:absolute;left:0;text-align:left;margin-left:0;margin-top:-1.35pt;width:622.95pt;height:95.55pt;z-index:-251653120;visibility:visible;mso-wrap-style:square;mso-wrap-distance-left:0;mso-wrap-distance-top:0;mso-wrap-distance-right:0;mso-wrap-distance-bottom:0;mso-position-horizontal:center;mso-position-horizontal-relative:margin;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" fillcolor="#b6daec" stroked="f">
              <v:textbox inset="2.53958mm,2.53958mm,2.53958mm,2.53958mm">
                <w:txbxContent>
                  <w:p w14:paraId="31CA2A3E" w14:textId="77777777" w:rsidR="007C419E" w:rsidRDefault="007C419E">
                    <w:pPr>
                      <w:spacing w:line="240" w:lineRule="auto"/>
                      <w:textDirection w:val="btLr"/>
                    </w:pPr>
                  </w:p>
                </w:txbxContent>
              </v:textbox>
              <w10:wrap anchorx="margin"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DD618" w14:textId="77777777" w:rsidR="007C419E" w:rsidRDefault="007C41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237B"/>
    <w:multiLevelType w:val="multilevel"/>
    <w:tmpl w:val="B6209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56010"/>
    <w:multiLevelType w:val="multilevel"/>
    <w:tmpl w:val="3A08B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F6B94"/>
    <w:multiLevelType w:val="multilevel"/>
    <w:tmpl w:val="A26EB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82CBA"/>
    <w:multiLevelType w:val="multilevel"/>
    <w:tmpl w:val="0922B1AE"/>
    <w:lvl w:ilvl="0">
      <w:start w:val="1"/>
      <w:numFmt w:val="decimal"/>
      <w:lvlText w:val="%1.0"/>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2502063C"/>
    <w:multiLevelType w:val="multilevel"/>
    <w:tmpl w:val="9DAA0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5B0E8B"/>
    <w:multiLevelType w:val="multilevel"/>
    <w:tmpl w:val="3F32D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BD3F85"/>
    <w:multiLevelType w:val="multilevel"/>
    <w:tmpl w:val="406A8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564ED"/>
    <w:multiLevelType w:val="multilevel"/>
    <w:tmpl w:val="679AE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8416FD"/>
    <w:multiLevelType w:val="multilevel"/>
    <w:tmpl w:val="36CEF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166E6"/>
    <w:multiLevelType w:val="multilevel"/>
    <w:tmpl w:val="86D4F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5F0585"/>
    <w:multiLevelType w:val="multilevel"/>
    <w:tmpl w:val="C02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76551C"/>
    <w:multiLevelType w:val="multilevel"/>
    <w:tmpl w:val="BA00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B71127"/>
    <w:multiLevelType w:val="multilevel"/>
    <w:tmpl w:val="6C28B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064193"/>
    <w:multiLevelType w:val="multilevel"/>
    <w:tmpl w:val="B172D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557156"/>
    <w:multiLevelType w:val="multilevel"/>
    <w:tmpl w:val="69C07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7B4598"/>
    <w:multiLevelType w:val="multilevel"/>
    <w:tmpl w:val="2F727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65118F"/>
    <w:multiLevelType w:val="multilevel"/>
    <w:tmpl w:val="C2247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0091854C"/>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nsid w:val="02711AB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0785902">
    <w:abstractNumId w:val="2"/>
  </w:num>
  <w:num w:numId="2" w16cid:durableId="109517104">
    <w:abstractNumId w:val="9"/>
  </w:num>
  <w:num w:numId="3" w16cid:durableId="590161049">
    <w:abstractNumId w:val="11"/>
  </w:num>
  <w:num w:numId="4" w16cid:durableId="274748490">
    <w:abstractNumId w:val="10"/>
  </w:num>
  <w:num w:numId="5" w16cid:durableId="2121953885">
    <w:abstractNumId w:val="13"/>
  </w:num>
  <w:num w:numId="6" w16cid:durableId="328869773">
    <w:abstractNumId w:val="16"/>
  </w:num>
  <w:num w:numId="7" w16cid:durableId="233127773">
    <w:abstractNumId w:val="0"/>
  </w:num>
  <w:num w:numId="8" w16cid:durableId="497161821">
    <w:abstractNumId w:val="5"/>
  </w:num>
  <w:num w:numId="9" w16cid:durableId="2000032700">
    <w:abstractNumId w:val="12"/>
  </w:num>
  <w:num w:numId="10" w16cid:durableId="1548881421">
    <w:abstractNumId w:val="3"/>
  </w:num>
  <w:num w:numId="11" w16cid:durableId="1794521935">
    <w:abstractNumId w:val="4"/>
  </w:num>
  <w:num w:numId="12" w16cid:durableId="1881284582">
    <w:abstractNumId w:val="15"/>
  </w:num>
  <w:num w:numId="13" w16cid:durableId="811752050">
    <w:abstractNumId w:val="14"/>
  </w:num>
  <w:num w:numId="14" w16cid:durableId="1592154369">
    <w:abstractNumId w:val="8"/>
  </w:num>
  <w:num w:numId="15" w16cid:durableId="666903087">
    <w:abstractNumId w:val="7"/>
  </w:num>
  <w:num w:numId="16" w16cid:durableId="312759782">
    <w:abstractNumId w:val="6"/>
  </w:num>
  <w:num w:numId="18">
    <w:abstractNumId w:val="17"/>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7" w16cid:durableId="1682466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19E"/>
    <w:rsid w:val="00093A28"/>
    <w:rsid w:val="002F11B4"/>
    <w:rsid w:val="003575EF"/>
    <w:rsid w:val="00414554"/>
    <w:rsid w:val="00604BF6"/>
    <w:rsid w:val="007C419E"/>
    <w:rsid w:val="00933EC7"/>
    <w:rsid w:val="009373B0"/>
    <w:rsid w:val="00B53E34"/>
    <w:rsid w:val="00BC6E71"/>
    <w:rsid w:val="00F335E8"/>
    <w:rsid w:val="00F45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42B79"/>
  <w15:docId w15:val="{D901A804-DF58-B246-BF0A-37DB8703D3E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cs="Arial" w:eastAsia="Arial"/>
        <w:sz w:val="20"/>
        <w:szCs w:val="20"/>
        <w:lang w:val="en-US" w:eastAsia="en-US" w:bidi="ar-SA"/>
      </w:rPr>
    </w:rPrDefault>
    <w:pPrDefault>
      <w:pPr>
        <w:spacing w:after="1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0"/>
    </w:pPr>
    <w:rPr>
      <w:rFonts w:ascii="Arial" w:hAnsi="Arial" w:cs="Arial" w:eastAsia="Arial"/>
      <w:color w:val="000000"/>
      <w:sz w:val="20"/>
      <w:szCs w:val="20"/>
    </w:rPr>
  </w:style>
  <w:style w:type="paragraph" w:styleId="Heading1">
    <w:name w:val="heading 1"/>
    <w:basedOn w:val="Normal"/>
    <w:next w:val="Normal"/>
    <w:uiPriority w:val="9"/>
    <w:qFormat/>
    <w:pPr>
      <w:keepNext/>
      <w:keepLines/>
      <w:spacing w:before="480" w:after="180"/>
      <w:ind w:left="0"/>
      <w:jc w:val="left"/>
      <w:outlineLvl w:val="0"/>
    </w:pPr>
    <w:rPr>
      <w:rFonts w:ascii="Arial" w:hAnsi="Arial" w:cs="Arial" w:eastAsia="Arial"/>
      <w:b/>
      <w:bCs/>
      <w:color w:val="008CCC"/>
      <w:sz w:val="38"/>
      <w:szCs w:val="38"/>
    </w:rPr>
  </w:style>
  <w:style w:type="paragraph" w:styleId="Heading2">
    <w:name w:val="heading 2"/>
    <w:basedOn w:val="Normal"/>
    <w:next w:val="Normal"/>
    <w:uiPriority w:val="9"/>
    <w:unhideWhenUsed/>
    <w:qFormat/>
    <w:pPr>
      <w:keepNext/>
      <w:keepLines/>
      <w:spacing w:before="240" w:after="120"/>
      <w:ind w:left="0"/>
      <w:jc w:val="left"/>
      <w:outlineLvl w:val="1"/>
    </w:pPr>
    <w:rPr>
      <w:rFonts w:ascii="Arial" w:hAnsi="Arial" w:cs="Arial" w:eastAsia="Arial"/>
      <w:b/>
      <w:bCs/>
      <w:color w:val="008CCC"/>
      <w:sz w:val="30"/>
      <w:szCs w:val="30"/>
    </w:rPr>
  </w:style>
  <w:style w:type="paragraph" w:styleId="Heading3">
    <w:name w:val="heading 3"/>
    <w:basedOn w:val="Normal"/>
    <w:next w:val="Normal"/>
    <w:uiPriority w:val="9"/>
    <w:unhideWhenUsed/>
    <w:qFormat/>
    <w:pPr>
      <w:keepNext/>
      <w:keepLines/>
      <w:spacing w:before="200" w:after="100"/>
      <w:ind w:left="0"/>
      <w:jc w:val="left"/>
      <w:outlineLvl w:val="2"/>
    </w:pPr>
    <w:rPr>
      <w:rFonts w:ascii="Arial" w:hAnsi="Arial" w:cs="Arial" w:eastAsia="Arial"/>
      <w:b/>
      <w:bCs/>
      <w:color w:val="008CCC"/>
      <w:sz w:val="26"/>
      <w:szCs w:val="26"/>
    </w:rPr>
  </w:style>
  <w:style w:type="paragraph" w:styleId="Heading4">
    <w:name w:val="heading 4"/>
    <w:basedOn w:val="Normal"/>
    <w:next w:val="Normal"/>
    <w:uiPriority w:val="9"/>
    <w:unhideWhenUsed/>
    <w:qFormat/>
    <w:pPr>
      <w:keepNext/>
      <w:keepLines/>
      <w:spacing w:before="200" w:after="80"/>
      <w:ind w:left="0"/>
      <w:jc w:val="left"/>
      <w:outlineLvl w:val="3"/>
    </w:pPr>
    <w:rPr>
      <w:rFonts w:ascii="Arial" w:hAnsi="Arial" w:cs="Arial" w:eastAsia="Arial"/>
      <w:b/>
      <w:bCs/>
      <w:smallCaps/>
      <w:color w:val="D87373"/>
      <w:sz w:val="22"/>
      <w:szCs w:val="22"/>
    </w:rPr>
  </w:style>
  <w:style w:type="paragraph" w:styleId="Heading5">
    <w:name w:val="heading 5"/>
    <w:basedOn w:val="Normal"/>
    <w:next w:val="Normal"/>
    <w:uiPriority w:val="9"/>
    <w:semiHidden/>
    <w:unhideWhenUsed/>
    <w:qFormat/>
    <w:pPr>
      <w:spacing w:before="160" w:after="80"/>
      <w:ind w:left="0"/>
      <w:jc w:val="left"/>
      <w:outlineLvl w:val="4"/>
    </w:pPr>
    <w:rPr>
      <w:rFonts w:ascii="Arial" w:hAnsi="Arial" w:cs="Arial" w:eastAsia="Arial"/>
      <w:b/>
      <w:bCs/>
      <w:smallCaps/>
      <w:color w:val="000000"/>
      <w:sz w:val="22"/>
      <w:szCs w:val="22"/>
      <w:u w:val="single"/>
    </w:rPr>
  </w:style>
  <w:style w:type="paragraph" w:styleId="Heading6">
    <w:name w:val="heading 6"/>
    <w:basedOn w:val="Normal"/>
    <w:next w:val="Normal"/>
    <w:uiPriority w:val="9"/>
    <w:semiHidden/>
    <w:unhideWhenUsed/>
    <w:qFormat/>
    <w:pPr>
      <w:keepNext/>
      <w:keepLines/>
      <w:spacing w:before="200" w:after="0"/>
      <w:ind w:left="4320" w:hanging="720"/>
      <w:outlineLvl w:val="5"/>
    </w:pPr>
    <w:rPr>
      <w:i/>
      <w:iCs/>
      <w:color w:val="2A44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jc w:val="left"/>
    </w:pPr>
    <w:rPr>
      <w:b/>
      <w:bCs/>
      <w:color w:val="FFFFFF"/>
      <w:sz w:val="80"/>
      <w:szCs w:val="80"/>
    </w:rPr>
  </w:style>
  <w:style w:type="paragraph" w:styleId="Subtitle">
    <w:name w:val="Subtitle"/>
    <w:basedOn w:val="Normal"/>
    <w:next w:val="Normal"/>
    <w:uiPriority w:val="11"/>
    <w:qFormat/>
    <w:pPr>
      <w:spacing w:after="0" w:line="240" w:lineRule="auto"/>
      <w:jc w:val="left"/>
    </w:pPr>
    <w:rPr>
      <w:rFonts w:ascii="Times New Roman" w:eastAsia="Times New Roman" w:hAnsi="Times New Roman" w:cs="Times New Roman"/>
      <w:color w:val="FFFFFF"/>
      <w:sz w:val="30"/>
      <w:szCs w:val="30"/>
    </w:rPr>
  </w:style>
  <w:style w:type="table" w:customStyle="1" w:styleId="a">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table" w:customStyle="1" w:styleId="a0">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table" w:customStyle="1" w:styleId="a4">
    <w:basedOn w:val="TableNormal0"/>
    <w:pPr>
      <w:spacing w:before="80" w:after="80"/>
    </w:pPr>
    <w:rPr>
      <w:color w:val="3F677B"/>
    </w:rPr>
    <w:tblPr>
      <w:tblStyleRowBandSize w:val="1"/>
      <w:tblStyleColBandSize w:val="1"/>
      <w:tblCellMar>
        <w:top w:w="0" w:type="dxa"/>
        <w:left w:w="115" w:type="dxa"/>
        <w:bottom w:w="0" w:type="dxa"/>
        <w:right w:w="115" w:type="dxa"/>
      </w:tblCellMar>
    </w:tblPr>
    <w:tcPr>
      <w:shd w:val="clear" w:color="auto" w:fill="auto"/>
    </w:tc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53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E34"/>
  </w:style>
  <w:style w:type="paragraph" w:styleId="Footer">
    <w:name w:val="footer"/>
    <w:basedOn w:val="Normal"/>
    <w:link w:val="FooterChar"/>
    <w:uiPriority w:val="99"/>
    <w:unhideWhenUsed/>
    <w:rsid w:val="00B53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E34"/>
  </w:style>
  <w:style w:type="character" w:styleId="Hyperlink">
    <w:name w:val="Hyperlink"/>
    <w:basedOn w:val="DefaultParagraphFont"/>
    <w:uiPriority w:val="99"/>
    <w:unhideWhenUsed/>
    <w:rsid w:val="00B53E34"/>
    <w:rPr>
      <w:color w:val="0000FF" w:themeColor="hyperlink"/>
      <w:u w:val="single"/>
    </w:rPr>
  </w:style>
  <w:style w:type="character" w:styleId="UnresolvedMention">
    <w:name w:val="Unresolved Mention"/>
    <w:basedOn w:val="DefaultParagraphFont"/>
    <w:uiPriority w:val="99"/>
    <w:semiHidden/>
    <w:unhideWhenUsed/>
    <w:rsid w:val="00B53E34"/>
    <w:rPr>
      <w:color w:val="605E5C"/>
      <w:shd w:val="clear" w:color="auto" w:fill="E1DFDD"/>
    </w:rPr>
  </w:style>
  <w:style w:type="paragraph" w:styleId="TOC3">
    <w:name w:val="toc 3"/>
    <w:basedOn w:val="Normal"/>
    <w:next w:val="Normal"/>
    <w:autoRedefine/>
    <w:uiPriority w:val="39"/>
    <w:unhideWhenUsed/>
    <w:rsid w:val="009373B0"/>
    <w:pPr>
      <w:spacing w:after="100"/>
      <w:ind w:left="400"/>
    </w:pPr>
  </w:style>
  <w:style w:type="paragraph" w:styleId="BodyText">
    <w:name w:val="Body Text"/>
    <w:basedOn w:val="Normal"/>
    <w:link w:val="BodyTextChar"/>
    <w:qFormat/>
    <w:pPr>
      <w:spacing w:after="120"/>
      <w:ind w:left="0"/>
    </w:pPr>
    <w:rPr>
      <w:rFonts w:ascii="Arial" w:hAnsi="Arial" w:cs="Arial" w:eastAsia="Arial"/>
      <w:color w:val="000000"/>
      <w:sz w:val="20"/>
      <w:szCs w:val="20"/>
    </w:rPr>
  </w:style>
  <w:style w:type="paragraph" w:customStyle="1" w:styleId="FirstParagraph">
    <w:name w:val="First Paragraph"/>
    <w:basedOn w:val="BodyText"/>
    <w:next w:val="BodyText"/>
    <w:qFormat/>
    <w:pPr>
      <w:spacing w:after="120"/>
      <w:ind w:left="0"/>
    </w:pPr>
    <w:rPr>
      <w:rFonts w:ascii="Arial" w:hAnsi="Arial" w:cs="Arial" w:eastAsia="Arial"/>
      <w:color w:val="000000"/>
      <w:sz w:val="20"/>
      <w:szCs w:val="20"/>
    </w:rPr>
  </w:style>
  <w:style w:type="paragraph" w:customStyle="1" w:styleId="Compact">
    <w:name w:val="Compact"/>
    <w:basedOn w:val="BodyText"/>
    <w:qFormat/>
    <w:pPr>
      <w:spacing w:after="60"/>
    </w:pPr>
    <w:rPr>
      <w:rFonts w:ascii="Arial" w:hAnsi="Arial" w:cs="Arial" w:eastAsia="Arial"/>
      <w:color w:val="000000"/>
      <w:sz w:val="20"/>
      <w:szCs w:val="20"/>
    </w:rPr>
  </w:style>
  <w:style w:type="character" w:customStyle="1" w:styleId="TitleChar">
    <w:name w:val="Title Char"/>
    <w:basedOn w:val="DefaultParagraphFont"/>
    <w:link w:val="Title"/>
    <w:uiPriority w:val="10"/>
    <w:rsid w:val="00A10FD9"/>
    <w:rPr>
      <w:rFonts w:ascii="Arial" w:hAnsi="Arial" w:cs="Arial" w:eastAsia="Arial"/>
      <w:sz w:val="56"/>
      <w:szCs w:val="56"/>
    </w:rPr>
  </w:style>
  <w:style w:type="character" w:customStyle="1" w:styleId="SubtitleChar">
    <w:name w:val="Subtitle Char"/>
    <w:basedOn w:val="DefaultParagraphFont"/>
    <w:link w:val="Subtitle"/>
    <w:uiPriority w:val="11"/>
    <w:rsid w:val="00A10FD9"/>
    <w:rPr>
      <w:rFonts w:ascii="Arial" w:hAnsi="Arial" w:cs="Arial" w:eastAsia="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Arial" w:hAnsi="Arial" w:cs="Arial" w:eastAsia="Arial"/>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Arial" w:hAnsi="Arial" w:cs="Arial" w:eastAsia="Arial"/>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Arial" w:hAnsi="Arial" w:cs="Arial" w:eastAsia="Arial"/>
      <w:color w:val="272727" w:themeColor="text1" w:themeTint="D8"/>
    </w:rPr>
  </w:style>
  <w:style w:type="character" w:customStyle="1" w:styleId="Heading1Char">
    <w:name w:val="Heading 1 Char"/>
    <w:basedOn w:val="DefaultParagraphFont"/>
    <w:link w:val="Heading1"/>
    <w:uiPriority w:val="9"/>
    <w:rsid w:val="00A10FD9"/>
    <w:rPr>
      <w:rFonts w:ascii="Arial" w:hAnsi="Arial" w:cs="Arial" w:eastAsia="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hAnsi="Arial" w:cs="Arial" w:eastAsia="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hAnsi="Arial" w:cs="Arial" w:eastAsia="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hAnsi="Arial" w:cs="Arial" w:eastAsia="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hAnsi="Arial" w:cs="Arial" w:eastAsia="Arial"/>
      <w:color w:val="0F4761" w:themeColor="accent1" w:themeShade="BF"/>
    </w:rPr>
  </w:style>
  <w:style w:type="character" w:customStyle="1" w:styleId="Heading6Char">
    <w:name w:val="Heading 6 Char"/>
    <w:basedOn w:val="DefaultParagraphFont"/>
    <w:link w:val="Heading6"/>
    <w:uiPriority w:val="9"/>
    <w:semiHidden/>
    <w:rsid w:val="00A10FD9"/>
    <w:rPr>
      <w:rFonts w:ascii="Arial" w:hAnsi="Arial" w:cs="Arial" w:eastAsia="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hAnsi="Arial" w:cs="Arial" w:eastAsia="Arial"/>
      <w:color w:val="595959" w:themeColor="text1" w:themeTint="A6"/>
    </w:rPr>
  </w:style>
  <w:style w:type="character" w:customStyle="1" w:styleId="Heading8Char">
    <w:name w:val="Heading 8 Char"/>
    <w:basedOn w:val="DefaultParagraphFont"/>
    <w:link w:val="Heading8"/>
    <w:uiPriority w:val="9"/>
    <w:semiHidden/>
    <w:rsid w:val="00A10FD9"/>
    <w:rPr>
      <w:rFonts w:ascii="Arial" w:hAnsi="Arial" w:cs="Arial" w:eastAsia="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hAnsi="Arial" w:cs="Arial" w:eastAsia="Arial"/>
      <w:color w:val="272727" w:themeColor="text1" w:themeTint="D8"/>
    </w:rPr>
  </w:style>
  <w:style w:type="paragraph" w:styleId="BlockText">
    <w:name w:val="Block Text"/>
    <w:basedOn w:val="BodyText"/>
    <w:next w:val="BodyText"/>
    <w:uiPriority w:val="9"/>
    <w:unhideWhenUsed/>
    <w:qFormat/>
    <w:pPr>
      <w:spacing w:after="120"/>
      <w:ind w:left="480" w:right="480"/>
    </w:pPr>
    <w:rPr>
      <w:rFonts w:ascii="Arial" w:hAnsi="Arial" w:cs="Arial" w:eastAsia="Arial"/>
      <w:i/>
      <w:iCs/>
      <w:color w:val="000000"/>
      <w:sz w:val="20"/>
      <w:szCs w:val="20"/>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spacing w:before="60" w:after="60"/>
      <w:ind w:left="0"/>
    </w:pPr>
    <w:rPr>
      <w:rFonts w:ascii="Arial" w:hAnsi="Arial" w:cs="Arial" w:eastAsia="Arial"/>
      <w:i/>
      <w:iCs/>
      <w:color w:val="000000"/>
      <w:sz w:val="18"/>
      <w:szCs w:val="18"/>
    </w:rPr>
  </w:style>
  <w:style w:type="paragraph" w:customStyle="1" w:styleId="ImageCaption">
    <w:name w:val="Image Caption"/>
    <w:basedOn w:val="Caption"/>
    <w:pPr>
      <w:spacing w:before="60" w:after="120"/>
      <w:ind w:left="0"/>
    </w:pPr>
    <w:rPr>
      <w:rFonts w:ascii="Arial" w:hAnsi="Arial" w:cs="Arial" w:eastAsia="Arial"/>
      <w:i/>
      <w:iCs/>
      <w:color w:val="000000"/>
      <w:sz w:val="18"/>
      <w:szCs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Arial" w:hAnsi="Arial" w:cs="Arial" w:eastAsia="Arial"/>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styleId="TOCHeading">
    <w:name w:val="TOC Heading"/>
    <w:basedOn w:val="Heading1"/>
    <w:next w:val="BodyText"/>
    <w:uiPriority w:val="39"/>
    <w:unhideWhenUsed/>
    <w:qFormat/>
    <w:pPr>
      <w:spacing w:before="240" w:line="259" w:lineRule="auto"/>
      <w:outlineLvl w:val="9"/>
    </w:pPr>
    <w:rPr>
      <w:rFonts w:ascii="Arial" w:hAnsi="Arial" w:cs="Arial" w:eastAsia="Arial"/>
      <w:b w:val="0"/>
      <w:bCs w:val="0"/>
      <w:color w:val="365F91" w:themeColor="accent1" w:themeShade="BF"/>
    </w:rPr>
  </w:style>
  <w:style w:type="table" w:customStyle="1" w:styleId="Table">
    <w:name w:val="Table"/>
    <w:basedOn w:val="TableNormal"/>
    <w:uiPriority w:val="99"/>
    <w:rPr>
      <w:rFonts w:ascii="Arial" w:hAnsi="Arial" w:cs="Arial" w:eastAsia="Arial"/>
      <w:color w:val="000000"/>
      <w:sz w:val="18"/>
      <w:szCs w:val="18"/>
    </w:r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rPr>
        <w:rFonts w:ascii="Arial" w:hAnsi="Arial" w:cs="Arial" w:eastAsia="Arial"/>
        <w:b/>
        <w:bCs/>
        <w:color w:val="FFFFFF"/>
        <w:sz w:val="18"/>
        <w:szCs w:val="18"/>
      </w:rPr>
      <w:tcPr>
        <w:shd w:val="clear" w:color="auto" w:fill="008CCC"/>
      </w:tcPr>
    </w:tblStylePr>
    <w:tblStylePr w:type="band1Horz">
      <w:tcPr>
        <w:shd w:val="clear" w:color="auto" w:fill="FFFFFF"/>
      </w:tcPr>
    </w:tblStylePr>
    <w:tblStylePr w:type="band2Horz">
      <w:tcPr>
        <w:shd w:val="clear" w:color="auto" w:fill="D4E2E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81</Words>
  <Characters>357</Characters>
  <Application>Microsoft Office Word</Application>
  <DocSecurity>0</DocSecurity>
  <Lines>119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Hamermesh, Mona</cp:lastModifiedBy>
  <cp:revision>7</cp:revision>
  <dcterms:created xsi:type="dcterms:W3CDTF">2026-05-28T20:27:00Z</dcterms:created>
  <dcterms:modified xsi:type="dcterms:W3CDTF">2026-09-22T16:34:00Z</dcterms:modified>
</cp:coreProperties>
</file>