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E0" w:rsidRPr="001E2906" w:rsidRDefault="000451D6" w:rsidP="001E2906">
      <w:pPr>
        <w:pStyle w:val="berschrift2"/>
        <w:rPr>
          <w:sz w:val="48"/>
        </w:rPr>
      </w:pPr>
      <w:r w:rsidRPr="001E2906">
        <w:rPr>
          <w:sz w:val="48"/>
        </w:rPr>
        <w:t>Fermentation</w:t>
      </w:r>
    </w:p>
    <w:p w:rsidR="000451D6" w:rsidRPr="000451D6" w:rsidRDefault="000451D6" w:rsidP="001E2906">
      <w:pPr>
        <w:pStyle w:val="berschrift3"/>
      </w:pPr>
      <w:r w:rsidRPr="000451D6">
        <w:t xml:space="preserve">Aerobe Phase: </w:t>
      </w:r>
    </w:p>
    <w:p w:rsidR="000451D6" w:rsidRDefault="000451D6" w:rsidP="000451D6">
      <w:pPr>
        <w:pStyle w:val="Listenabsatz"/>
        <w:numPr>
          <w:ilvl w:val="0"/>
          <w:numId w:val="1"/>
        </w:numPr>
      </w:pPr>
      <w:r>
        <w:t xml:space="preserve">leichtverfügbaren Kohlenhydrate zu Kohlensäure und Wasser abgebaut, wodurch Wärme entsteht und Nährstoffverluste auftreten </w:t>
      </w:r>
    </w:p>
    <w:p w:rsidR="000451D6" w:rsidRDefault="000451D6" w:rsidP="000451D6">
      <w:pPr>
        <w:pStyle w:val="Listenabsatz"/>
        <w:numPr>
          <w:ilvl w:val="0"/>
          <w:numId w:val="1"/>
        </w:numPr>
      </w:pPr>
      <w:r>
        <w:t>Je mehr Restsauerstoff vorhanden ist, umso besser können sich die Essigsäurebakterien (</w:t>
      </w:r>
      <w:proofErr w:type="spellStart"/>
      <w:r>
        <w:t>Enterobakterien</w:t>
      </w:r>
      <w:proofErr w:type="spellEnd"/>
      <w:r>
        <w:t xml:space="preserve">, E-Coli, Salmonellen,  </w:t>
      </w:r>
      <w:r>
        <w:t>) entwickeln</w:t>
      </w:r>
      <w:r>
        <w:t xml:space="preserve"> und nehmen den MSB den Zucker weg </w:t>
      </w:r>
    </w:p>
    <w:p w:rsidR="000451D6" w:rsidRPr="000451D6" w:rsidRDefault="000451D6" w:rsidP="000451D6">
      <w:pPr>
        <w:pStyle w:val="Listenabsatz"/>
        <w:numPr>
          <w:ilvl w:val="0"/>
          <w:numId w:val="1"/>
        </w:numPr>
        <w:rPr>
          <w:b/>
        </w:rPr>
      </w:pPr>
      <w:r>
        <w:t xml:space="preserve">Optimal dauert dies nur wenige h </w:t>
      </w:r>
    </w:p>
    <w:p w:rsidR="000451D6" w:rsidRPr="000451D6" w:rsidRDefault="000451D6" w:rsidP="000451D6">
      <w:pPr>
        <w:pStyle w:val="Listenabsatz"/>
        <w:numPr>
          <w:ilvl w:val="0"/>
          <w:numId w:val="1"/>
        </w:numPr>
        <w:rPr>
          <w:b/>
        </w:rPr>
      </w:pPr>
      <w:r>
        <w:t>MSB zu 80% gehemmt</w:t>
      </w:r>
    </w:p>
    <w:p w:rsidR="00C523E6" w:rsidRDefault="00C523E6" w:rsidP="000451D6">
      <w:pPr>
        <w:rPr>
          <w:b/>
        </w:rPr>
      </w:pPr>
    </w:p>
    <w:p w:rsidR="000451D6" w:rsidRDefault="000451D6" w:rsidP="001E2906">
      <w:pPr>
        <w:pStyle w:val="berschrift3"/>
      </w:pPr>
      <w:r>
        <w:t>Hauptgärung</w:t>
      </w:r>
      <w:r w:rsidR="001E2906">
        <w:t xml:space="preserve"> - Milchsäuregärung</w:t>
      </w:r>
    </w:p>
    <w:p w:rsidR="001E2906" w:rsidRDefault="001E2906" w:rsidP="000451D6">
      <w:pPr>
        <w:rPr>
          <w:b/>
          <w:noProof/>
          <w:lang w:eastAsia="de-CH"/>
        </w:rPr>
      </w:pPr>
    </w:p>
    <w:p w:rsidR="001E2906" w:rsidRDefault="001E2906" w:rsidP="000451D6">
      <w:pPr>
        <w:rPr>
          <w:b/>
        </w:rPr>
      </w:pPr>
      <w:r>
        <w:rPr>
          <w:b/>
          <w:noProof/>
          <w:lang w:eastAsia="de-CH"/>
        </w:rPr>
        <w:drawing>
          <wp:inline distT="0" distB="0" distL="0" distR="0">
            <wp:extent cx="3151244" cy="19964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6C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79" t="35135" r="21428" b="14742"/>
                    <a:stretch/>
                  </pic:blipFill>
                  <pic:spPr bwMode="auto">
                    <a:xfrm>
                      <a:off x="0" y="0"/>
                      <a:ext cx="3151244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3E6" w:rsidRDefault="00C523E6" w:rsidP="000451D6">
      <w:pPr>
        <w:rPr>
          <w:b/>
        </w:rPr>
      </w:pPr>
    </w:p>
    <w:p w:rsidR="00C523E6" w:rsidRDefault="00C523E6" w:rsidP="000451D6">
      <w:pPr>
        <w:rPr>
          <w:b/>
        </w:rPr>
      </w:pPr>
    </w:p>
    <w:p w:rsidR="000451D6" w:rsidRPr="00C523E6" w:rsidRDefault="000451D6" w:rsidP="000451D6">
      <w:pPr>
        <w:rPr>
          <w:b/>
        </w:rPr>
      </w:pPr>
      <w:r w:rsidRPr="00C523E6">
        <w:rPr>
          <w:b/>
        </w:rPr>
        <w:t>Fehlgärung</w:t>
      </w:r>
    </w:p>
    <w:p w:rsidR="000451D6" w:rsidRDefault="000451D6" w:rsidP="00C523E6">
      <w:r>
        <w:t xml:space="preserve">Wenn der pH-Wert nicht genügend schnell ein kritisches Niveau erreicht, entwickeln sich die streng anaeroben </w:t>
      </w:r>
      <w:proofErr w:type="spellStart"/>
      <w:r>
        <w:t>Clostridien</w:t>
      </w:r>
      <w:proofErr w:type="spellEnd"/>
      <w:r>
        <w:t xml:space="preserve"> und verursachen eine Buttersäuregärung, auch bekannt als sekundäre Gärung </w:t>
      </w:r>
    </w:p>
    <w:p w:rsidR="00C523E6" w:rsidRDefault="000451D6" w:rsidP="00C523E6">
      <w:pPr>
        <w:pStyle w:val="Listenabsatz"/>
        <w:numPr>
          <w:ilvl w:val="0"/>
          <w:numId w:val="2"/>
        </w:numPr>
      </w:pPr>
      <w:r>
        <w:t xml:space="preserve">Abbau von Kohlenhydraten, Milchsäure und verschiedenen Aminosäuren </w:t>
      </w:r>
      <w:r w:rsidR="00C523E6">
        <w:t xml:space="preserve"> </w:t>
      </w:r>
    </w:p>
    <w:p w:rsidR="000451D6" w:rsidRDefault="000451D6" w:rsidP="00C523E6">
      <w:r>
        <w:t>=&gt;</w:t>
      </w:r>
      <w:r>
        <w:t xml:space="preserve">Trockenmasse- und Energieverluste </w:t>
      </w:r>
    </w:p>
    <w:p w:rsidR="000451D6" w:rsidRDefault="000451D6" w:rsidP="000451D6">
      <w:r>
        <w:t>=&gt; pH-Anstieg und Gestank (Ammoniakbildung)</w:t>
      </w:r>
    </w:p>
    <w:p w:rsidR="000451D6" w:rsidRDefault="000451D6" w:rsidP="000451D6"/>
    <w:p w:rsidR="000451D6" w:rsidRDefault="000451D6" w:rsidP="000451D6"/>
    <w:p w:rsidR="000451D6" w:rsidRDefault="000451D6" w:rsidP="001E2906">
      <w:pPr>
        <w:pStyle w:val="berschrift3"/>
      </w:pPr>
      <w:r w:rsidRPr="00C523E6">
        <w:lastRenderedPageBreak/>
        <w:t>Öffnung der Silage – Nacherwärmung</w:t>
      </w:r>
    </w:p>
    <w:p w:rsidR="00C523E6" w:rsidRDefault="00C523E6" w:rsidP="000451D6">
      <w:r>
        <w:t>Hefen werden durch Fermentierung nicht gehemmt (wachsen auch bei pH unter 3.5)</w:t>
      </w:r>
    </w:p>
    <w:p w:rsidR="00C523E6" w:rsidRDefault="00C523E6" w:rsidP="00C523E6">
      <w:r>
        <w:t>Durch Öffnung g</w:t>
      </w:r>
      <w:r>
        <w:t xml:space="preserve">elangt jedoch wieder Sauerstoff ins System können die Hefen verschiedene organische Säuren umsetzen, u.a. auch Milchsäure. </w:t>
      </w:r>
    </w:p>
    <w:p w:rsidR="00C523E6" w:rsidRDefault="00C523E6" w:rsidP="00C523E6"/>
    <w:p w:rsidR="00C523E6" w:rsidRDefault="00C523E6" w:rsidP="00C523E6">
      <w:r>
        <w:t>=&gt;</w:t>
      </w:r>
      <w:r>
        <w:t xml:space="preserve">pH-Anstieg und begünstigt daraufhin auch andere Gärschädlinge wie Essigsäurebakterien und Schimmelpilze. </w:t>
      </w:r>
    </w:p>
    <w:p w:rsidR="00C523E6" w:rsidRDefault="00C523E6" w:rsidP="000451D6"/>
    <w:p w:rsidR="00C523E6" w:rsidRPr="00C523E6" w:rsidRDefault="00C523E6" w:rsidP="001E2906">
      <w:pPr>
        <w:pStyle w:val="berschrift3"/>
      </w:pPr>
      <w:r w:rsidRPr="00C523E6">
        <w:t xml:space="preserve">Voraussetzung für eine einwandfreie Milchsäuregärung sind </w:t>
      </w:r>
    </w:p>
    <w:p w:rsidR="00C523E6" w:rsidRDefault="00C523E6" w:rsidP="00C523E6">
      <w:pPr>
        <w:pStyle w:val="Listenabsatz"/>
        <w:numPr>
          <w:ilvl w:val="0"/>
          <w:numId w:val="3"/>
        </w:numPr>
      </w:pPr>
      <w:r w:rsidRPr="00F30B94">
        <w:rPr>
          <w:b/>
          <w:i/>
        </w:rPr>
        <w:t xml:space="preserve">anaerobe </w:t>
      </w:r>
      <w:r>
        <w:t xml:space="preserve">Bedingungen mit möglichst wenig </w:t>
      </w:r>
      <w:proofErr w:type="spellStart"/>
      <w:r>
        <w:t>Restluft</w:t>
      </w:r>
      <w:proofErr w:type="spellEnd"/>
    </w:p>
    <w:p w:rsidR="00C523E6" w:rsidRDefault="00F30B94" w:rsidP="00C523E6">
      <w:pPr>
        <w:pStyle w:val="Listenabsatz"/>
        <w:numPr>
          <w:ilvl w:val="0"/>
          <w:numId w:val="3"/>
        </w:numPr>
      </w:pPr>
      <w:r w:rsidRPr="00F30B94">
        <w:rPr>
          <w:b/>
          <w:i/>
        </w:rPr>
        <w:t>Zucker</w:t>
      </w:r>
      <w:r>
        <w:t xml:space="preserve"> - </w:t>
      </w:r>
      <w:r w:rsidR="00C523E6">
        <w:t xml:space="preserve">ausreichend </w:t>
      </w:r>
      <w:r w:rsidR="001E2906">
        <w:t xml:space="preserve">vergärbarer </w:t>
      </w:r>
      <w:r w:rsidR="001E2906" w:rsidRPr="00F30B94">
        <w:t>Zucker</w:t>
      </w:r>
    </w:p>
    <w:p w:rsidR="00C523E6" w:rsidRDefault="001E2906" w:rsidP="001E2906">
      <w:pPr>
        <w:ind w:left="360"/>
      </w:pPr>
      <w:r>
        <w:t>(</w:t>
      </w:r>
      <w:r w:rsidR="00C523E6">
        <w:t xml:space="preserve">Zuviel Restzucker, </w:t>
      </w:r>
      <w:proofErr w:type="spellStart"/>
      <w:r w:rsidR="00C523E6">
        <w:t>ethano</w:t>
      </w:r>
      <w:r w:rsidR="00F30B94">
        <w:t>l</w:t>
      </w:r>
      <w:proofErr w:type="spellEnd"/>
      <w:r w:rsidR="00F30B94">
        <w:t xml:space="preserve"> und CO2 </w:t>
      </w:r>
      <w:proofErr w:type="spellStart"/>
      <w:r w:rsidR="00F30B94">
        <w:t>bildung</w:t>
      </w:r>
      <w:proofErr w:type="spellEnd"/>
      <w:r w:rsidR="00F30B94">
        <w:t xml:space="preserve"> durch die Hefen)</w:t>
      </w:r>
    </w:p>
    <w:p w:rsidR="00C523E6" w:rsidRDefault="00F30B94" w:rsidP="00C523E6">
      <w:pPr>
        <w:pStyle w:val="Listenabsatz"/>
        <w:numPr>
          <w:ilvl w:val="0"/>
          <w:numId w:val="3"/>
        </w:numPr>
      </w:pPr>
      <w:r>
        <w:rPr>
          <w:b/>
          <w:i/>
        </w:rPr>
        <w:t xml:space="preserve">Temperatur - </w:t>
      </w:r>
      <w:r>
        <w:t xml:space="preserve"> </w:t>
      </w:r>
      <w:r w:rsidR="00C523E6">
        <w:t xml:space="preserve">optimaler </w:t>
      </w:r>
      <w:r w:rsidR="001E2906">
        <w:t xml:space="preserve">und </w:t>
      </w:r>
      <w:r w:rsidR="001E2906" w:rsidRPr="00F30B94">
        <w:t xml:space="preserve">stabiler </w:t>
      </w:r>
      <w:r w:rsidR="00C523E6" w:rsidRPr="00F30B94">
        <w:t>T</w:t>
      </w:r>
      <w:r w:rsidR="002E5AB4" w:rsidRPr="00F30B94">
        <w:t xml:space="preserve">emperaturbereich für die </w:t>
      </w:r>
      <w:r w:rsidR="002E5AB4">
        <w:t>MSB (20</w:t>
      </w:r>
      <w:r w:rsidR="00C523E6">
        <w:t>-30°C)</w:t>
      </w:r>
    </w:p>
    <w:p w:rsidR="00C523E6" w:rsidRDefault="00F30B94" w:rsidP="00C523E6">
      <w:pPr>
        <w:pStyle w:val="Listenabsatz"/>
        <w:numPr>
          <w:ilvl w:val="0"/>
          <w:numId w:val="3"/>
        </w:numPr>
      </w:pPr>
      <w:r>
        <w:rPr>
          <w:b/>
          <w:i/>
        </w:rPr>
        <w:t>Mischung-</w:t>
      </w:r>
      <w:r>
        <w:t xml:space="preserve"> </w:t>
      </w:r>
      <w:r w:rsidR="00C523E6">
        <w:t>Verteilung von Zucker und MSB überall im Substrat, da MSB nicht mobil sind</w:t>
      </w:r>
    </w:p>
    <w:p w:rsidR="00F30B94" w:rsidRDefault="00795073" w:rsidP="00F30B94">
      <w:pPr>
        <w:pStyle w:val="Listenabsatz"/>
        <w:numPr>
          <w:ilvl w:val="0"/>
          <w:numId w:val="3"/>
        </w:numPr>
      </w:pPr>
      <w:r w:rsidRPr="00F30B94">
        <w:rPr>
          <w:b/>
          <w:i/>
        </w:rPr>
        <w:t>Trockensubstanzgehalt</w:t>
      </w:r>
      <w:r>
        <w:t xml:space="preserve"> </w:t>
      </w:r>
      <w:r w:rsidR="00F30B94">
        <w:t>stabiler Trockengehalt des Materials, da optimale zuckermenge je nach TS variiert</w:t>
      </w:r>
    </w:p>
    <w:p w:rsidR="00795073" w:rsidRDefault="00795073" w:rsidP="00F30B94">
      <w:pPr>
        <w:pStyle w:val="Listenabsatz"/>
      </w:pPr>
      <w:r>
        <w:t xml:space="preserve">(zu feucht Förderung </w:t>
      </w:r>
      <w:proofErr w:type="spellStart"/>
      <w:r>
        <w:t>Clostridien</w:t>
      </w:r>
      <w:proofErr w:type="spellEnd"/>
      <w:r>
        <w:t xml:space="preserve"> da feuchteliebend, deshalb muss pH schneller gesenkt werden als wenn Trocken und zudem muss mehr MS gebildet werden um tiefen pH zu erreichen,  zu trocken über 40% </w:t>
      </w:r>
      <w:proofErr w:type="spellStart"/>
      <w:r>
        <w:t>zuviel</w:t>
      </w:r>
      <w:proofErr w:type="spellEnd"/>
      <w:r>
        <w:t xml:space="preserve"> Luft und langsame En</w:t>
      </w:r>
      <w:r w:rsidR="00F30B94">
        <w:t xml:space="preserve">twicklung MSB) 30-40% in </w:t>
      </w:r>
      <w:proofErr w:type="spellStart"/>
      <w:r w:rsidR="00F30B94">
        <w:t>Silagen</w:t>
      </w:r>
      <w:proofErr w:type="spellEnd"/>
      <w:r w:rsidR="00F30B94">
        <w:t xml:space="preserve"> optimal. </w:t>
      </w:r>
    </w:p>
    <w:p w:rsidR="00F30B94" w:rsidRDefault="00F30B94" w:rsidP="001E2906"/>
    <w:p w:rsidR="001E2906" w:rsidRDefault="001E2906" w:rsidP="001E2906">
      <w:r>
        <w:t xml:space="preserve">Dauer </w:t>
      </w:r>
      <w:proofErr w:type="spellStart"/>
      <w:r>
        <w:t>ca</w:t>
      </w:r>
      <w:proofErr w:type="spellEnd"/>
      <w:r>
        <w:t xml:space="preserve"> 10 Tage.</w:t>
      </w:r>
    </w:p>
    <w:p w:rsidR="00795073" w:rsidRDefault="00795073" w:rsidP="00795073"/>
    <w:p w:rsidR="00795073" w:rsidRPr="00F30B94" w:rsidRDefault="00F30B94" w:rsidP="00795073">
      <w:pPr>
        <w:rPr>
          <w:b/>
        </w:rPr>
      </w:pPr>
      <w:r w:rsidRPr="00F30B94">
        <w:rPr>
          <w:b/>
        </w:rPr>
        <w:t>Prozessfördernd</w:t>
      </w:r>
      <w:r>
        <w:rPr>
          <w:b/>
        </w:rPr>
        <w:t>:</w:t>
      </w:r>
    </w:p>
    <w:p w:rsidR="00795073" w:rsidRDefault="00795073" w:rsidP="00F30B94">
      <w:pPr>
        <w:pStyle w:val="Listenabsatz"/>
        <w:numPr>
          <w:ilvl w:val="0"/>
          <w:numId w:val="2"/>
        </w:numPr>
      </w:pPr>
      <w:r>
        <w:t xml:space="preserve">Zufügen von </w:t>
      </w:r>
      <w:r w:rsidRPr="00291D24">
        <w:rPr>
          <w:b/>
          <w:i/>
        </w:rPr>
        <w:t>Nitrat</w:t>
      </w:r>
      <w:r w:rsidRPr="00F30B94">
        <w:rPr>
          <w:b/>
          <w:i/>
        </w:rPr>
        <w:t xml:space="preserve"> </w:t>
      </w:r>
      <w:r>
        <w:t xml:space="preserve">welches die </w:t>
      </w:r>
      <w:proofErr w:type="spellStart"/>
      <w:r>
        <w:t>Clostriedien</w:t>
      </w:r>
      <w:proofErr w:type="spellEnd"/>
      <w:r>
        <w:t>/Fehlgärung hemmt (0.05% des Trockengehaltes)</w:t>
      </w:r>
    </w:p>
    <w:p w:rsidR="001E2906" w:rsidRDefault="001E2906" w:rsidP="00F30B94">
      <w:pPr>
        <w:pStyle w:val="Listenabsatz"/>
        <w:numPr>
          <w:ilvl w:val="0"/>
          <w:numId w:val="2"/>
        </w:numPr>
      </w:pPr>
      <w:r w:rsidRPr="00291D24">
        <w:rPr>
          <w:b/>
          <w:i/>
        </w:rPr>
        <w:t>schnellst möglichst</w:t>
      </w:r>
      <w:r>
        <w:t xml:space="preserve"> zu </w:t>
      </w:r>
      <w:proofErr w:type="spellStart"/>
      <w:r>
        <w:t>laktofermentieren</w:t>
      </w:r>
      <w:proofErr w:type="spellEnd"/>
      <w:r>
        <w:t xml:space="preserve"> um der</w:t>
      </w:r>
      <w:r w:rsidR="00F30B94">
        <w:t xml:space="preserve"> Harnhydrolyse vorzubeugen. </w:t>
      </w:r>
    </w:p>
    <w:p w:rsidR="001E2906" w:rsidRPr="004011EA" w:rsidRDefault="001E2906" w:rsidP="00F30B94">
      <w:pPr>
        <w:pStyle w:val="Listenabsatz"/>
        <w:numPr>
          <w:ilvl w:val="0"/>
          <w:numId w:val="2"/>
        </w:numPr>
      </w:pPr>
      <w:r>
        <w:t xml:space="preserve">Zuckerrohrmelasse </w:t>
      </w:r>
      <w:r w:rsidR="00F30B94">
        <w:t xml:space="preserve">besser als </w:t>
      </w:r>
      <w:proofErr w:type="spellStart"/>
      <w:r w:rsidR="00F30B94">
        <w:t>Zuckerrübenmelsse</w:t>
      </w:r>
      <w:proofErr w:type="spellEnd"/>
      <w:r w:rsidR="00F30B94">
        <w:t xml:space="preserve"> </w:t>
      </w:r>
    </w:p>
    <w:p w:rsidR="001E2906" w:rsidRDefault="001E2906" w:rsidP="00F30B94">
      <w:pPr>
        <w:pStyle w:val="Listenabsatz"/>
        <w:numPr>
          <w:ilvl w:val="0"/>
          <w:numId w:val="2"/>
        </w:numPr>
      </w:pPr>
      <w:r>
        <w:t>Die</w:t>
      </w:r>
      <w:r w:rsidRPr="008868FF">
        <w:t xml:space="preserve"> Star</w:t>
      </w:r>
      <w:r>
        <w:t>t</w:t>
      </w:r>
      <w:r w:rsidRPr="008868FF">
        <w:t xml:space="preserve">bedingungen der MSB </w:t>
      </w:r>
      <w:r>
        <w:t xml:space="preserve">könnten möglicherweise durch </w:t>
      </w:r>
      <w:r w:rsidRPr="00291D24">
        <w:rPr>
          <w:b/>
          <w:i/>
        </w:rPr>
        <w:t>Inkubation</w:t>
      </w:r>
      <w:r>
        <w:t xml:space="preserve"> verbessert werden MSB über 20 h bei 37°C =&gt; in optimaler Wachstumsphase</w:t>
      </w:r>
    </w:p>
    <w:p w:rsidR="001E2906" w:rsidRDefault="001E2906" w:rsidP="001E2906"/>
    <w:p w:rsidR="000451D6" w:rsidRDefault="000451D6" w:rsidP="00795073"/>
    <w:p w:rsidR="002E5AB4" w:rsidRPr="001E2906" w:rsidRDefault="002E5AB4" w:rsidP="001E2906">
      <w:pPr>
        <w:pStyle w:val="berschrift3"/>
      </w:pPr>
      <w:r w:rsidRPr="001E2906">
        <w:t>Stand der Forschung</w:t>
      </w:r>
    </w:p>
    <w:p w:rsidR="00795073" w:rsidRDefault="00795073" w:rsidP="002E5AB4">
      <w:pPr>
        <w:pStyle w:val="Listenabsatz"/>
        <w:numPr>
          <w:ilvl w:val="0"/>
          <w:numId w:val="2"/>
        </w:numPr>
      </w:pPr>
      <w:r>
        <w:t>10% Zuckerrohrmelasse (m/m) und 10% EM (m/m) pH auf 4.1 innerhalb 10 Tagen</w:t>
      </w:r>
    </w:p>
    <w:p w:rsidR="00795073" w:rsidRDefault="002E5AB4" w:rsidP="002E5AB4">
      <w:pPr>
        <w:pStyle w:val="Listenabsatz"/>
        <w:numPr>
          <w:ilvl w:val="0"/>
          <w:numId w:val="2"/>
        </w:numPr>
      </w:pPr>
      <w:r>
        <w:t>5% Zuckerrohrmelasse zu gering und endet in Fehlgärung</w:t>
      </w:r>
    </w:p>
    <w:p w:rsidR="00795073" w:rsidRDefault="002E5AB4" w:rsidP="002E5AB4">
      <w:pPr>
        <w:pStyle w:val="Listenabsatz"/>
        <w:numPr>
          <w:ilvl w:val="0"/>
          <w:numId w:val="2"/>
        </w:numPr>
      </w:pPr>
      <w:r w:rsidRPr="002E5AB4">
        <w:lastRenderedPageBreak/>
        <w:t>40% Küchenabfällen (Zuckergehalt</w:t>
      </w:r>
      <w:r w:rsidR="001E2906">
        <w:t xml:space="preserve"> 9.6% von FS) als Zuckerquelle funktioniert auch – stinkt jedoch mehr als mit Melasse fermentiert. </w:t>
      </w:r>
    </w:p>
    <w:p w:rsidR="002E5AB4" w:rsidRDefault="002E5AB4" w:rsidP="002E5AB4">
      <w:pPr>
        <w:pStyle w:val="Listenabsatz"/>
        <w:numPr>
          <w:ilvl w:val="0"/>
          <w:numId w:val="2"/>
        </w:numPr>
      </w:pPr>
      <w:r>
        <w:t xml:space="preserve">Je </w:t>
      </w:r>
      <w:r w:rsidRPr="002E5AB4">
        <w:t xml:space="preserve">höher die zugegebene Menge Milchsäurebakterien umso höhere Milchsäurebildung und schnellere pH – Absenkung als auch eine umso geringere Essig – und Buttersäurekonzentrationen </w:t>
      </w:r>
    </w:p>
    <w:p w:rsidR="002E5AB4" w:rsidRDefault="002E5AB4" w:rsidP="00795073"/>
    <w:p w:rsidR="002E5AB4" w:rsidRPr="001E2906" w:rsidRDefault="002E5AB4" w:rsidP="001E2906">
      <w:pPr>
        <w:pStyle w:val="berschrift3"/>
      </w:pPr>
      <w:r w:rsidRPr="001E2906">
        <w:t xml:space="preserve">Material </w:t>
      </w:r>
      <w:proofErr w:type="spellStart"/>
      <w:r w:rsidRPr="001E2906">
        <w:t>Kompotoi</w:t>
      </w:r>
      <w:proofErr w:type="spellEnd"/>
    </w:p>
    <w:p w:rsidR="002E5AB4" w:rsidRDefault="002E5AB4" w:rsidP="00291D24">
      <w:pPr>
        <w:pStyle w:val="Listenabsatz"/>
        <w:numPr>
          <w:ilvl w:val="0"/>
          <w:numId w:val="2"/>
        </w:numPr>
      </w:pPr>
      <w:r>
        <w:t>Hohe Pufferkapazität weshalb wichtig Prozess möglichst optimal</w:t>
      </w:r>
    </w:p>
    <w:p w:rsidR="001E2906" w:rsidRDefault="001E2906" w:rsidP="00291D24">
      <w:pPr>
        <w:pStyle w:val="Listenabsatz"/>
        <w:numPr>
          <w:ilvl w:val="0"/>
          <w:numId w:val="2"/>
        </w:numPr>
      </w:pPr>
      <w:r>
        <w:t xml:space="preserve">Eine EM1 Konzentration von 25% (m/m) sollte genügen. </w:t>
      </w:r>
    </w:p>
    <w:p w:rsidR="001E2906" w:rsidRDefault="001E2906" w:rsidP="00291D24">
      <w:pPr>
        <w:pStyle w:val="Listenabsatz"/>
        <w:numPr>
          <w:ilvl w:val="0"/>
          <w:numId w:val="2"/>
        </w:numPr>
      </w:pPr>
      <w:proofErr w:type="gramStart"/>
      <w:r>
        <w:t>optimalen</w:t>
      </w:r>
      <w:proofErr w:type="gramEnd"/>
      <w:r>
        <w:t xml:space="preserve"> </w:t>
      </w:r>
      <w:proofErr w:type="spellStart"/>
      <w:r>
        <w:t>Melassekonzentration</w:t>
      </w:r>
      <w:proofErr w:type="spellEnd"/>
      <w:r>
        <w:t xml:space="preserve">? wahrscheinlich über 12.5% (m/m). </w:t>
      </w:r>
    </w:p>
    <w:p w:rsidR="00291D24" w:rsidRDefault="00291D24" w:rsidP="00291D2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8"/>
        <w:gridCol w:w="2600"/>
        <w:gridCol w:w="3190"/>
      </w:tblGrid>
      <w:tr w:rsidR="00797888" w:rsidTr="00797888">
        <w:tc>
          <w:tcPr>
            <w:tcW w:w="3498" w:type="dxa"/>
          </w:tcPr>
          <w:p w:rsidR="00797888" w:rsidRDefault="00797888" w:rsidP="00291D24">
            <w:r>
              <w:t>Fermentation in Kübel</w:t>
            </w:r>
          </w:p>
          <w:p w:rsidR="00797888" w:rsidRDefault="00797888" w:rsidP="00291D24">
            <w:r>
              <w:t>Zuschlagmaterialien während Sammlung</w:t>
            </w:r>
          </w:p>
        </w:tc>
        <w:tc>
          <w:tcPr>
            <w:tcW w:w="2600" w:type="dxa"/>
          </w:tcPr>
          <w:p w:rsidR="00797888" w:rsidRDefault="00797888" w:rsidP="00291D24">
            <w:r>
              <w:t>Fermentation in Kübel</w:t>
            </w:r>
          </w:p>
          <w:p w:rsidR="00797888" w:rsidRDefault="00797888" w:rsidP="00291D24">
            <w:r>
              <w:t>Zuschlagmaterialien nach Sammlung</w:t>
            </w:r>
          </w:p>
        </w:tc>
        <w:tc>
          <w:tcPr>
            <w:tcW w:w="3190" w:type="dxa"/>
          </w:tcPr>
          <w:p w:rsidR="00797888" w:rsidRDefault="00797888" w:rsidP="00291D24">
            <w:r>
              <w:t>Fermentation in Pressmulde</w:t>
            </w:r>
          </w:p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/>
        </w:tc>
        <w:tc>
          <w:tcPr>
            <w:tcW w:w="3190" w:type="dxa"/>
          </w:tcPr>
          <w:p w:rsidR="00797888" w:rsidRDefault="00797888" w:rsidP="00291D24">
            <w:bookmarkStart w:id="0" w:name="_GoBack"/>
            <w:bookmarkEnd w:id="0"/>
          </w:p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/>
        </w:tc>
        <w:tc>
          <w:tcPr>
            <w:tcW w:w="3190" w:type="dxa"/>
          </w:tcPr>
          <w:p w:rsidR="00797888" w:rsidRDefault="00797888" w:rsidP="00291D24"/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/>
        </w:tc>
        <w:tc>
          <w:tcPr>
            <w:tcW w:w="3190" w:type="dxa"/>
          </w:tcPr>
          <w:p w:rsidR="00797888" w:rsidRDefault="00797888" w:rsidP="00291D24"/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/>
        </w:tc>
        <w:tc>
          <w:tcPr>
            <w:tcW w:w="3190" w:type="dxa"/>
          </w:tcPr>
          <w:p w:rsidR="00797888" w:rsidRDefault="00797888" w:rsidP="00291D24"/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>
            <w:r>
              <w:t>Aufwand</w:t>
            </w:r>
          </w:p>
        </w:tc>
        <w:tc>
          <w:tcPr>
            <w:tcW w:w="3190" w:type="dxa"/>
          </w:tcPr>
          <w:p w:rsidR="00797888" w:rsidRDefault="00797888" w:rsidP="00291D24"/>
        </w:tc>
      </w:tr>
      <w:tr w:rsidR="00797888" w:rsidTr="00797888">
        <w:tc>
          <w:tcPr>
            <w:tcW w:w="3498" w:type="dxa"/>
          </w:tcPr>
          <w:p w:rsidR="00797888" w:rsidRDefault="00797888" w:rsidP="00291D24">
            <w:r>
              <w:t>Mischung?</w:t>
            </w:r>
          </w:p>
        </w:tc>
        <w:tc>
          <w:tcPr>
            <w:tcW w:w="2600" w:type="dxa"/>
          </w:tcPr>
          <w:p w:rsidR="00797888" w:rsidRDefault="00797888" w:rsidP="00291D24">
            <w:r>
              <w:t>Mischung?</w:t>
            </w:r>
          </w:p>
        </w:tc>
        <w:tc>
          <w:tcPr>
            <w:tcW w:w="3190" w:type="dxa"/>
          </w:tcPr>
          <w:p w:rsidR="00797888" w:rsidRDefault="00797888" w:rsidP="00291D24"/>
        </w:tc>
      </w:tr>
      <w:tr w:rsidR="00797888" w:rsidTr="00797888">
        <w:tc>
          <w:tcPr>
            <w:tcW w:w="3498" w:type="dxa"/>
          </w:tcPr>
          <w:p w:rsidR="00797888" w:rsidRDefault="00797888" w:rsidP="00291D24"/>
        </w:tc>
        <w:tc>
          <w:tcPr>
            <w:tcW w:w="2600" w:type="dxa"/>
          </w:tcPr>
          <w:p w:rsidR="00797888" w:rsidRDefault="00797888" w:rsidP="00291D24"/>
        </w:tc>
        <w:tc>
          <w:tcPr>
            <w:tcW w:w="3190" w:type="dxa"/>
          </w:tcPr>
          <w:p w:rsidR="00797888" w:rsidRDefault="00797888" w:rsidP="00291D24"/>
        </w:tc>
      </w:tr>
    </w:tbl>
    <w:p w:rsidR="00291D24" w:rsidRDefault="00291D24" w:rsidP="00291D24"/>
    <w:p w:rsidR="00291D24" w:rsidRDefault="00291D24" w:rsidP="00291D24"/>
    <w:p w:rsidR="00291D24" w:rsidRDefault="00291D24" w:rsidP="00291D24"/>
    <w:p w:rsidR="00291D24" w:rsidRDefault="00291D24" w:rsidP="001E2906"/>
    <w:p w:rsidR="00291D24" w:rsidRDefault="00291D24" w:rsidP="001E2906"/>
    <w:p w:rsidR="00291D24" w:rsidRDefault="00291D24" w:rsidP="001E2906"/>
    <w:p w:rsidR="00291D24" w:rsidRDefault="00291D24" w:rsidP="001E2906"/>
    <w:p w:rsidR="001E2906" w:rsidRDefault="001E2906" w:rsidP="001E2906"/>
    <w:p w:rsidR="001E2906" w:rsidRDefault="001E2906" w:rsidP="00795073"/>
    <w:p w:rsidR="002E5AB4" w:rsidRDefault="002E5AB4" w:rsidP="002E5AB4"/>
    <w:p w:rsidR="002E5AB4" w:rsidRDefault="002E5AB4" w:rsidP="002E5AB4"/>
    <w:p w:rsidR="003A33A8" w:rsidRDefault="002E5AB4" w:rsidP="002E5AB4">
      <w:r>
        <w:t>.</w:t>
      </w:r>
      <w:r w:rsidRPr="00492FC4">
        <w:t xml:space="preserve"> </w:t>
      </w:r>
    </w:p>
    <w:p w:rsidR="003A33A8" w:rsidRDefault="003A33A8" w:rsidP="002E5AB4"/>
    <w:p w:rsidR="002E5AB4" w:rsidRDefault="002E5AB4" w:rsidP="00795073"/>
    <w:sectPr w:rsidR="002E5AB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CE0" w:rsidRDefault="001A6CE0" w:rsidP="001E2906">
      <w:pPr>
        <w:spacing w:line="240" w:lineRule="auto"/>
      </w:pPr>
      <w:r>
        <w:separator/>
      </w:r>
    </w:p>
  </w:endnote>
  <w:endnote w:type="continuationSeparator" w:id="0">
    <w:p w:rsidR="001A6CE0" w:rsidRDefault="001A6CE0" w:rsidP="001E2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CE0" w:rsidRDefault="001A6CE0" w:rsidP="001E2906">
      <w:pPr>
        <w:spacing w:line="240" w:lineRule="auto"/>
      </w:pPr>
      <w:r>
        <w:separator/>
      </w:r>
    </w:p>
  </w:footnote>
  <w:footnote w:type="continuationSeparator" w:id="0">
    <w:p w:rsidR="001A6CE0" w:rsidRDefault="001A6CE0" w:rsidP="001E29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06" w:rsidRDefault="001E2906">
    <w:pPr>
      <w:pStyle w:val="Kopfzeile"/>
    </w:pPr>
    <w:r>
      <w:t xml:space="preserve">15.12.2015 Iris </w:t>
    </w:r>
  </w:p>
  <w:p w:rsidR="001E2906" w:rsidRDefault="001E2906">
    <w:pPr>
      <w:pStyle w:val="Kopfzeile"/>
    </w:pPr>
  </w:p>
  <w:p w:rsidR="001E2906" w:rsidRDefault="001E290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2B67"/>
    <w:multiLevelType w:val="hybridMultilevel"/>
    <w:tmpl w:val="B8B8D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B1778"/>
    <w:multiLevelType w:val="multilevel"/>
    <w:tmpl w:val="37AE785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DC53597"/>
    <w:multiLevelType w:val="hybridMultilevel"/>
    <w:tmpl w:val="56DC9F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835C24"/>
    <w:multiLevelType w:val="hybridMultilevel"/>
    <w:tmpl w:val="4DECC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D6"/>
    <w:rsid w:val="000451D6"/>
    <w:rsid w:val="000533E0"/>
    <w:rsid w:val="00110369"/>
    <w:rsid w:val="001A6CE0"/>
    <w:rsid w:val="001E2906"/>
    <w:rsid w:val="00291D24"/>
    <w:rsid w:val="002D2719"/>
    <w:rsid w:val="002E5AB4"/>
    <w:rsid w:val="003A33A8"/>
    <w:rsid w:val="006C65CB"/>
    <w:rsid w:val="00795073"/>
    <w:rsid w:val="00797888"/>
    <w:rsid w:val="00A03FE8"/>
    <w:rsid w:val="00BA499A"/>
    <w:rsid w:val="00C523E6"/>
    <w:rsid w:val="00C66F29"/>
    <w:rsid w:val="00DA1F39"/>
    <w:rsid w:val="00F30B94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499A"/>
    <w:pPr>
      <w:spacing w:after="0" w:line="360" w:lineRule="auto"/>
    </w:pPr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66F29"/>
    <w:pPr>
      <w:keepNext/>
      <w:keepLines/>
      <w:spacing w:before="480" w:line="240" w:lineRule="auto"/>
      <w:outlineLvl w:val="0"/>
    </w:pPr>
    <w:rPr>
      <w:rFonts w:ascii="Comic Sans MS" w:eastAsiaTheme="majorEastAsia" w:hAnsi="Comic Sans MS" w:cstheme="majorBidi"/>
      <w:b/>
      <w:bCs/>
      <w:color w:val="000000" w:themeColor="text1"/>
      <w:sz w:val="28"/>
      <w:szCs w:val="28"/>
      <w14:textFill>
        <w14:solidFill>
          <w14:schemeClr w14:val="tx1">
            <w14:lumMod w14:val="85000"/>
            <w14:lumOff w14:val="15000"/>
            <w14:lumMod w14:val="85000"/>
            <w14:lumOff w14:val="15000"/>
            <w14:lumMod w14:val="85000"/>
          </w14:schemeClr>
        </w14:soli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E5AB4"/>
    <w:pPr>
      <w:keepNext/>
      <w:spacing w:before="320"/>
      <w:ind w:left="576" w:hanging="576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E5AB4"/>
    <w:pPr>
      <w:keepNext/>
      <w:tabs>
        <w:tab w:val="left" w:pos="770"/>
      </w:tabs>
      <w:spacing w:before="240"/>
      <w:ind w:left="720" w:hanging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E5AB4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5AB4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E5AB4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E5AB4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E5AB4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">
    <w:name w:val="Standart"/>
    <w:basedOn w:val="Standard"/>
    <w:autoRedefine/>
    <w:qFormat/>
    <w:rsid w:val="000533E0"/>
    <w:pPr>
      <w:spacing w:before="40" w:line="240" w:lineRule="auto"/>
    </w:pPr>
    <w:rPr>
      <w:color w:val="262626" w:themeColor="text1" w:themeTint="D9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6F29"/>
    <w:rPr>
      <w:rFonts w:ascii="Comic Sans MS" w:eastAsiaTheme="majorEastAsia" w:hAnsi="Comic Sans MS" w:cstheme="majorBidi"/>
      <w:b/>
      <w:bCs/>
      <w:color w:val="000000" w:themeColor="text1"/>
      <w:sz w:val="28"/>
      <w:szCs w:val="28"/>
      <w:lang w:eastAsia="de-DE"/>
      <w14:textFill>
        <w14:solidFill>
          <w14:schemeClr w14:val="tx1">
            <w14:lumMod w14:val="85000"/>
            <w14:lumOff w14:val="15000"/>
            <w14:lumMod w14:val="85000"/>
            <w14:lumOff w14:val="15000"/>
            <w14:lumMod w14:val="85000"/>
          </w14:schemeClr>
        </w14:solidFill>
      </w14:textFill>
    </w:rPr>
  </w:style>
  <w:style w:type="paragraph" w:styleId="Listenabsatz">
    <w:name w:val="List Paragraph"/>
    <w:basedOn w:val="Standard"/>
    <w:uiPriority w:val="34"/>
    <w:qFormat/>
    <w:rsid w:val="000451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5AB4"/>
    <w:rPr>
      <w:rFonts w:ascii="Arial" w:hAnsi="Arial" w:cs="Arial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AB4"/>
    <w:rPr>
      <w:rFonts w:ascii="Arial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AB4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5AB4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5AB4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E5AB4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E5AB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06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E29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906"/>
    <w:rPr>
      <w:rFonts w:ascii="Arial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E29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906"/>
    <w:rPr>
      <w:rFonts w:ascii="Arial" w:hAnsi="Arial" w:cs="Times New Roman"/>
      <w:szCs w:val="20"/>
      <w:lang w:eastAsia="de-DE"/>
    </w:rPr>
  </w:style>
  <w:style w:type="table" w:styleId="Tabellenraster">
    <w:name w:val="Table Grid"/>
    <w:basedOn w:val="NormaleTabelle"/>
    <w:uiPriority w:val="59"/>
    <w:rsid w:val="0029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499A"/>
    <w:pPr>
      <w:spacing w:after="0" w:line="360" w:lineRule="auto"/>
    </w:pPr>
    <w:rPr>
      <w:rFonts w:ascii="Arial" w:hAnsi="Arial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66F29"/>
    <w:pPr>
      <w:keepNext/>
      <w:keepLines/>
      <w:spacing w:before="480" w:line="240" w:lineRule="auto"/>
      <w:outlineLvl w:val="0"/>
    </w:pPr>
    <w:rPr>
      <w:rFonts w:ascii="Comic Sans MS" w:eastAsiaTheme="majorEastAsia" w:hAnsi="Comic Sans MS" w:cstheme="majorBidi"/>
      <w:b/>
      <w:bCs/>
      <w:color w:val="000000" w:themeColor="text1"/>
      <w:sz w:val="28"/>
      <w:szCs w:val="28"/>
      <w14:textFill>
        <w14:solidFill>
          <w14:schemeClr w14:val="tx1">
            <w14:lumMod w14:val="85000"/>
            <w14:lumOff w14:val="15000"/>
            <w14:lumMod w14:val="85000"/>
            <w14:lumOff w14:val="15000"/>
            <w14:lumMod w14:val="85000"/>
          </w14:schemeClr>
        </w14:soli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E5AB4"/>
    <w:pPr>
      <w:keepNext/>
      <w:spacing w:before="320"/>
      <w:ind w:left="576" w:hanging="576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E5AB4"/>
    <w:pPr>
      <w:keepNext/>
      <w:tabs>
        <w:tab w:val="left" w:pos="770"/>
      </w:tabs>
      <w:spacing w:before="240"/>
      <w:ind w:left="720" w:hanging="72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E5AB4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5AB4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E5AB4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E5AB4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E5AB4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">
    <w:name w:val="Standart"/>
    <w:basedOn w:val="Standard"/>
    <w:autoRedefine/>
    <w:qFormat/>
    <w:rsid w:val="000533E0"/>
    <w:pPr>
      <w:spacing w:before="40" w:line="240" w:lineRule="auto"/>
    </w:pPr>
    <w:rPr>
      <w:color w:val="262626" w:themeColor="text1" w:themeTint="D9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6F29"/>
    <w:rPr>
      <w:rFonts w:ascii="Comic Sans MS" w:eastAsiaTheme="majorEastAsia" w:hAnsi="Comic Sans MS" w:cstheme="majorBidi"/>
      <w:b/>
      <w:bCs/>
      <w:color w:val="000000" w:themeColor="text1"/>
      <w:sz w:val="28"/>
      <w:szCs w:val="28"/>
      <w:lang w:eastAsia="de-DE"/>
      <w14:textFill>
        <w14:solidFill>
          <w14:schemeClr w14:val="tx1">
            <w14:lumMod w14:val="85000"/>
            <w14:lumOff w14:val="15000"/>
            <w14:lumMod w14:val="85000"/>
            <w14:lumOff w14:val="15000"/>
            <w14:lumMod w14:val="85000"/>
          </w14:schemeClr>
        </w14:solidFill>
      </w14:textFill>
    </w:rPr>
  </w:style>
  <w:style w:type="paragraph" w:styleId="Listenabsatz">
    <w:name w:val="List Paragraph"/>
    <w:basedOn w:val="Standard"/>
    <w:uiPriority w:val="34"/>
    <w:qFormat/>
    <w:rsid w:val="000451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5AB4"/>
    <w:rPr>
      <w:rFonts w:ascii="Arial" w:hAnsi="Arial" w:cs="Arial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AB4"/>
    <w:rPr>
      <w:rFonts w:ascii="Arial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AB4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5AB4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5AB4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E5AB4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E5AB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06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E290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906"/>
    <w:rPr>
      <w:rFonts w:ascii="Arial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E290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906"/>
    <w:rPr>
      <w:rFonts w:ascii="Arial" w:hAnsi="Arial" w:cs="Times New Roman"/>
      <w:szCs w:val="20"/>
      <w:lang w:eastAsia="de-DE"/>
    </w:rPr>
  </w:style>
  <w:style w:type="table" w:styleId="Tabellenraster">
    <w:name w:val="Table Grid"/>
    <w:basedOn w:val="NormaleTabelle"/>
    <w:uiPriority w:val="59"/>
    <w:rsid w:val="0029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3</cp:revision>
  <dcterms:created xsi:type="dcterms:W3CDTF">2015-12-15T20:01:00Z</dcterms:created>
  <dcterms:modified xsi:type="dcterms:W3CDTF">2015-12-16T01:13:00Z</dcterms:modified>
</cp:coreProperties>
</file>