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line="240" w:lineRule="auto"/>
        <w:jc w:val="center"/>
      </w:pPr>
      <w:r>
        <w:drawing>
          <wp:inline xmlns:a="http://schemas.openxmlformats.org/drawingml/2006/main" xmlns:pic="http://schemas.openxmlformats.org/drawingml/2006/picture">
            <wp:extent cx="1280160" cy="1247195"/>
            <wp:docPr id="1" name="Picture 1"/>
            <wp:cNvGraphicFramePr>
              <a:graphicFrameLocks noChangeAspect="1"/>
            </wp:cNvGraphicFramePr>
            <a:graphic>
              <a:graphicData uri="http://schemas.openxmlformats.org/drawingml/2006/picture">
                <pic:pic>
                  <pic:nvPicPr>
                    <pic:cNvPr id="0" name="moi_uni_logo.png"/>
                    <pic:cNvPicPr/>
                  </pic:nvPicPr>
                  <pic:blipFill>
                    <a:blip r:embed="rId9"/>
                    <a:stretch>
                      <a:fillRect/>
                    </a:stretch>
                  </pic:blipFill>
                  <pic:spPr>
                    <a:xfrm>
                      <a:off x="0" y="0"/>
                      <a:ext cx="1280160" cy="1247195"/>
                    </a:xfrm>
                    <a:prstGeom prst="rect"/>
                  </pic:spPr>
                </pic:pic>
              </a:graphicData>
            </a:graphic>
          </wp:inline>
        </w:drawing>
      </w:r>
    </w:p>
    <w:p>
      <w:pPr>
        <w:spacing w:before="0" w:after="80" w:line="240" w:lineRule="auto"/>
        <w:jc w:val="center"/>
      </w:pPr>
      <w:r>
        <w:rPr>
          <w:rFonts w:ascii="Times New Roman" w:hAnsi="Times New Roman"/>
          <w:b/>
          <w:i w:val="0"/>
          <w:color w:val="000000"/>
          <w:sz w:val="32"/>
        </w:rPr>
        <w:t>MOI UNIVERSITY</w:t>
      </w:r>
    </w:p>
    <w:p>
      <w:pPr>
        <w:spacing w:before="0" w:after="80" w:line="240" w:lineRule="auto"/>
        <w:jc w:val="center"/>
      </w:pPr>
      <w:r>
        <w:rPr>
          <w:rFonts w:ascii="Times New Roman" w:hAnsi="Times New Roman"/>
          <w:b/>
          <w:i w:val="0"/>
          <w:color w:val="000000"/>
          <w:sz w:val="28"/>
        </w:rPr>
        <w:t>ANNEX CAMPUS</w:t>
      </w:r>
    </w:p>
    <w:p>
      <w:pPr>
        <w:spacing w:before="0" w:after="480" w:line="240" w:lineRule="auto"/>
        <w:jc w:val="center"/>
      </w:pPr>
      <w:r>
        <w:rPr>
          <w:rFonts w:ascii="Times New Roman" w:hAnsi="Times New Roman"/>
          <w:b/>
          <w:i w:val="0"/>
          <w:color w:val="000000"/>
          <w:sz w:val="26"/>
        </w:rPr>
        <w:t>SCHOOL OF BUSINESS AND ECONOMICS</w:t>
      </w:r>
    </w:p>
    <w:p>
      <w:pPr>
        <w:spacing w:before="0" w:after="160" w:line="240" w:lineRule="auto"/>
        <w:jc w:val="left"/>
      </w:pPr>
      <w:r>
        <w:rPr>
          <w:rFonts w:ascii="Times New Roman" w:hAnsi="Times New Roman"/>
          <w:b/>
          <w:i w:val="0"/>
          <w:color w:val="000000"/>
          <w:sz w:val="24"/>
        </w:rPr>
        <w:t xml:space="preserve">COURSE CODE     : </w:t>
      </w:r>
      <w:r>
        <w:rPr>
          <w:rFonts w:ascii="Times New Roman" w:hAnsi="Times New Roman"/>
          <w:b w:val="0"/>
          <w:i w:val="0"/>
          <w:color w:val="000000"/>
          <w:sz w:val="24"/>
        </w:rPr>
        <w:t>BBM 415</w:t>
      </w:r>
    </w:p>
    <w:p>
      <w:pPr>
        <w:spacing w:before="0" w:after="160" w:line="240" w:lineRule="auto"/>
        <w:jc w:val="left"/>
      </w:pPr>
      <w:r>
        <w:rPr>
          <w:rFonts w:ascii="Times New Roman" w:hAnsi="Times New Roman"/>
          <w:b/>
          <w:i w:val="0"/>
          <w:color w:val="000000"/>
          <w:sz w:val="24"/>
        </w:rPr>
        <w:t xml:space="preserve">COURSE TITLE    : </w:t>
      </w:r>
      <w:r>
        <w:rPr>
          <w:rFonts w:ascii="Times New Roman" w:hAnsi="Times New Roman"/>
          <w:b w:val="0"/>
          <w:i w:val="0"/>
          <w:color w:val="000000"/>
          <w:sz w:val="24"/>
        </w:rPr>
        <w:t>MANAGEMENT OF FINANCIAL INSTITUTIONS</w:t>
      </w:r>
    </w:p>
    <w:p>
      <w:pPr>
        <w:spacing w:before="0" w:after="160" w:line="240" w:lineRule="auto"/>
        <w:jc w:val="left"/>
      </w:pPr>
      <w:r>
        <w:rPr>
          <w:rFonts w:ascii="Times New Roman" w:hAnsi="Times New Roman"/>
          <w:b/>
          <w:i w:val="0"/>
          <w:color w:val="000000"/>
          <w:sz w:val="24"/>
        </w:rPr>
        <w:t xml:space="preserve">NAME            : </w:t>
      </w:r>
      <w:r>
        <w:rPr>
          <w:rFonts w:ascii="Times New Roman" w:hAnsi="Times New Roman"/>
          <w:b w:val="0"/>
          <w:i w:val="0"/>
          <w:color w:val="000000"/>
          <w:sz w:val="24"/>
        </w:rPr>
        <w:t>ODHIAMBO CALVINCE</w:t>
      </w:r>
    </w:p>
    <w:p>
      <w:pPr>
        <w:spacing w:before="0" w:after="160" w:line="240" w:lineRule="auto"/>
        <w:jc w:val="left"/>
      </w:pPr>
      <w:r>
        <w:rPr>
          <w:rFonts w:ascii="Times New Roman" w:hAnsi="Times New Roman"/>
          <w:b/>
          <w:i w:val="0"/>
          <w:color w:val="000000"/>
          <w:sz w:val="24"/>
        </w:rPr>
        <w:t xml:space="preserve">REG NUMBER      : </w:t>
      </w:r>
      <w:r>
        <w:rPr>
          <w:rFonts w:ascii="Times New Roman" w:hAnsi="Times New Roman"/>
          <w:b w:val="0"/>
          <w:i w:val="0"/>
          <w:color w:val="000000"/>
          <w:sz w:val="24"/>
        </w:rPr>
        <w:t>BBM/1483/23</w:t>
      </w:r>
    </w:p>
    <w:p>
      <w:pPr>
        <w:spacing w:before="0" w:after="160" w:line="240" w:lineRule="auto"/>
        <w:jc w:val="left"/>
      </w:pPr>
      <w:r>
        <w:rPr>
          <w:rFonts w:ascii="Times New Roman" w:hAnsi="Times New Roman"/>
          <w:b/>
          <w:i w:val="0"/>
          <w:color w:val="000000"/>
          <w:sz w:val="24"/>
        </w:rPr>
        <w:t xml:space="preserve">TASK            : </w:t>
      </w:r>
      <w:r>
        <w:rPr>
          <w:rFonts w:ascii="Times New Roman" w:hAnsi="Times New Roman"/>
          <w:b w:val="0"/>
          <w:i w:val="0"/>
          <w:color w:val="000000"/>
          <w:sz w:val="24"/>
        </w:rPr>
        <w:t>CAT</w:t>
      </w:r>
    </w:p>
    <w:p>
      <w:pPr>
        <w:spacing w:before="0" w:after="160" w:line="240" w:lineRule="auto"/>
        <w:jc w:val="left"/>
      </w:pPr>
      <w:r>
        <w:rPr>
          <w:rFonts w:ascii="Times New Roman" w:hAnsi="Times New Roman"/>
          <w:b/>
          <w:i w:val="0"/>
          <w:color w:val="000000"/>
          <w:sz w:val="24"/>
        </w:rPr>
        <w:t xml:space="preserve">DATE            : </w:t>
      </w:r>
      <w:r>
        <w:rPr>
          <w:rFonts w:ascii="Times New Roman" w:hAnsi="Times New Roman"/>
          <w:b w:val="0"/>
          <w:i w:val="0"/>
          <w:color w:val="000000"/>
          <w:sz w:val="24"/>
        </w:rPr>
        <w:t>3RD APRIL 2026</w:t>
      </w:r>
    </w:p>
    <w:p>
      <w:pPr>
        <w:spacing w:before="0" w:after="160" w:line="240" w:lineRule="auto"/>
        <w:jc w:val="left"/>
      </w:pPr>
      <w:r>
        <w:rPr>
          <w:rFonts w:ascii="Times New Roman" w:hAnsi="Times New Roman"/>
          <w:b/>
          <w:i w:val="0"/>
          <w:color w:val="000000"/>
          <w:sz w:val="24"/>
        </w:rPr>
        <w:t xml:space="preserve">LECTURER        : </w:t>
      </w:r>
      <w:r>
        <w:rPr>
          <w:rFonts w:ascii="Times New Roman" w:hAnsi="Times New Roman"/>
          <w:b w:val="0"/>
          <w:i w:val="0"/>
          <w:color w:val="000000"/>
          <w:sz w:val="24"/>
        </w:rPr>
        <w:t>DR. JAPHET KOGEI</w:t>
      </w:r>
    </w:p>
    <w:p>
      <w:r>
        <w:br w:type="page"/>
      </w:r>
    </w:p>
    <w:p>
      <w:pPr>
        <w:spacing w:before="280" w:after="120" w:line="360" w:lineRule="auto"/>
        <w:jc w:val="left"/>
      </w:pPr>
      <w:r>
        <w:rPr>
          <w:rFonts w:ascii="Times New Roman" w:hAnsi="Times New Roman"/>
          <w:b/>
          <w:i w:val="0"/>
          <w:color w:val="000000"/>
          <w:sz w:val="24"/>
        </w:rPr>
        <w:t>QUESTION ONE</w:t>
      </w:r>
    </w:p>
    <w:p>
      <w:pPr>
        <w:spacing w:before="0" w:after="120" w:line="360" w:lineRule="auto"/>
        <w:jc w:val="both"/>
      </w:pPr>
      <w:r>
        <w:rPr>
          <w:rFonts w:ascii="Times New Roman" w:hAnsi="Times New Roman"/>
          <w:b w:val="0"/>
          <w:i w:val="0"/>
          <w:color w:val="000000"/>
          <w:sz w:val="24"/>
        </w:rPr>
        <w:t>Financial institutions occupy a unique position in the economy due to their special characteristics and operational frameworks that distinguish them from non-financial enterprises.</w:t>
      </w:r>
    </w:p>
    <w:p>
      <w:pPr>
        <w:spacing w:before="80" w:after="120" w:line="360" w:lineRule="auto"/>
        <w:jc w:val="both"/>
      </w:pPr>
      <w:r>
        <w:rPr>
          <w:rFonts w:ascii="Times New Roman" w:hAnsi="Times New Roman"/>
          <w:b/>
          <w:i/>
          <w:color w:val="000000"/>
          <w:sz w:val="24"/>
        </w:rPr>
        <w:t>a) Discuss the nature of financial institutions and explain why they are considered unique in terms of their operations and risk exposure. (5 Marks)</w:t>
      </w:r>
    </w:p>
    <w:p>
      <w:pPr>
        <w:spacing w:before="0" w:after="120" w:line="360" w:lineRule="auto"/>
        <w:jc w:val="both"/>
      </w:pPr>
      <w:r>
        <w:rPr>
          <w:rFonts w:ascii="Times New Roman" w:hAnsi="Times New Roman"/>
          <w:b w:val="0"/>
          <w:i w:val="0"/>
          <w:color w:val="000000"/>
          <w:sz w:val="24"/>
        </w:rPr>
        <w:t>Financial institutions are organizations that provide financial services for their clients or members. They differ significantly from non-financial enterprises like manufacturing or retail firms because their primary inventory is money and financial contracts rather than physical goods.</w:t>
      </w:r>
    </w:p>
    <w:p>
      <w:pPr>
        <w:spacing w:before="0" w:after="120" w:line="360" w:lineRule="auto"/>
        <w:jc w:val="both"/>
      </w:pPr>
      <w:r>
        <w:rPr>
          <w:rFonts w:ascii="Times New Roman" w:hAnsi="Times New Roman"/>
          <w:b w:val="0"/>
          <w:i w:val="0"/>
          <w:color w:val="000000"/>
          <w:sz w:val="24"/>
        </w:rPr>
        <w:t>The fundamental nature of a financial institution is to act as a financial intermediary. They bridge the gap between "surplus units" (Savers/Investors) and "deficit units" (borrowers), ensuring the efficient allocation of capital within the economy.</w:t>
      </w:r>
    </w:p>
    <w:p>
      <w:pPr>
        <w:spacing w:before="200" w:after="80" w:line="360" w:lineRule="auto"/>
        <w:jc w:val="left"/>
      </w:pPr>
      <w:r>
        <w:rPr>
          <w:rFonts w:ascii="Times New Roman" w:hAnsi="Times New Roman"/>
          <w:b/>
          <w:i w:val="0"/>
          <w:color w:val="000000"/>
          <w:sz w:val="24"/>
        </w:rPr>
        <w:t>Reasons Why Financial Institutions are Unique</w:t>
      </w:r>
    </w:p>
    <w:p>
      <w:pPr>
        <w:spacing w:before="0" w:after="80" w:line="360" w:lineRule="auto"/>
        <w:ind w:left="504"/>
        <w:jc w:val="both"/>
      </w:pPr>
      <w:r>
        <w:rPr>
          <w:rFonts w:ascii="Times New Roman" w:hAnsi="Times New Roman"/>
          <w:b/>
          <w:i w:val="0"/>
          <w:color w:val="000000"/>
          <w:sz w:val="24"/>
        </w:rPr>
        <w:t xml:space="preserve">i) Maturity Transformation:  </w:t>
      </w:r>
      <w:r>
        <w:rPr>
          <w:rFonts w:ascii="Times New Roman" w:hAnsi="Times New Roman"/>
          <w:b w:val="0"/>
          <w:i w:val="0"/>
          <w:color w:val="000000"/>
          <w:sz w:val="24"/>
        </w:rPr>
        <w:t>They borrow short term and lend long term. Depositors can withdraw funds on demand, but loans may be extended for years. This maturity mismatch creates significant liquidity risk.</w:t>
      </w:r>
    </w:p>
    <w:p>
      <w:pPr>
        <w:spacing w:before="0" w:after="80" w:line="360" w:lineRule="auto"/>
        <w:ind w:left="504"/>
        <w:jc w:val="both"/>
      </w:pPr>
      <w:r>
        <w:rPr>
          <w:rFonts w:ascii="Times New Roman" w:hAnsi="Times New Roman"/>
          <w:b/>
          <w:i w:val="0"/>
          <w:color w:val="000000"/>
          <w:sz w:val="24"/>
        </w:rPr>
        <w:t xml:space="preserve">ii) High Leverage:  </w:t>
      </w:r>
      <w:r>
        <w:rPr>
          <w:rFonts w:ascii="Times New Roman" w:hAnsi="Times New Roman"/>
          <w:b w:val="0"/>
          <w:i w:val="0"/>
          <w:color w:val="000000"/>
          <w:sz w:val="24"/>
        </w:rPr>
        <w:t>Financial institutions operate with high levels of debt relative to equity. Banks, for example, fund a significant portion of their operations using deposits and borrowed funds, making them more vulnerable to small shocks or adverse economic events.</w:t>
      </w:r>
    </w:p>
    <w:p>
      <w:pPr>
        <w:spacing w:before="0" w:after="80" w:line="360" w:lineRule="auto"/>
        <w:ind w:left="504"/>
        <w:jc w:val="both"/>
      </w:pPr>
      <w:r>
        <w:rPr>
          <w:rFonts w:ascii="Times New Roman" w:hAnsi="Times New Roman"/>
          <w:b/>
          <w:i w:val="0"/>
          <w:color w:val="000000"/>
          <w:sz w:val="24"/>
        </w:rPr>
        <w:t xml:space="preserve">iii) Risk Transformation:  </w:t>
      </w:r>
      <w:r>
        <w:rPr>
          <w:rFonts w:ascii="Times New Roman" w:hAnsi="Times New Roman"/>
          <w:b w:val="0"/>
          <w:i w:val="0"/>
          <w:color w:val="000000"/>
          <w:sz w:val="24"/>
        </w:rPr>
        <w:t>Financial institutions transform risky assets into less risky claims for savers. For example, a bank may pool many risky individual loans but provide depositors with relatively safe and liquid claims on those assets.</w:t>
      </w:r>
    </w:p>
    <w:p>
      <w:pPr>
        <w:spacing w:before="200" w:after="80" w:line="360" w:lineRule="auto"/>
        <w:jc w:val="left"/>
      </w:pPr>
      <w:r>
        <w:rPr>
          <w:rFonts w:ascii="Times New Roman" w:hAnsi="Times New Roman"/>
          <w:b/>
          <w:i w:val="0"/>
          <w:color w:val="000000"/>
          <w:sz w:val="24"/>
        </w:rPr>
        <w:t>Unique Risk Exposure</w:t>
      </w:r>
    </w:p>
    <w:p>
      <w:pPr>
        <w:spacing w:before="0" w:after="120" w:line="360" w:lineRule="auto"/>
        <w:jc w:val="both"/>
      </w:pPr>
      <w:r>
        <w:rPr>
          <w:rFonts w:ascii="Times New Roman" w:hAnsi="Times New Roman"/>
          <w:b w:val="0"/>
          <w:i w:val="0"/>
          <w:color w:val="000000"/>
          <w:sz w:val="24"/>
        </w:rPr>
        <w:t>Because of their specific operations, financial institutions face risks that are far more volatile than those of non-financial firms:</w:t>
      </w:r>
    </w:p>
    <w:p>
      <w:pPr>
        <w:spacing w:before="0" w:after="80" w:line="360" w:lineRule="auto"/>
        <w:ind w:left="504"/>
        <w:jc w:val="both"/>
      </w:pPr>
      <w:r>
        <w:rPr>
          <w:rFonts w:ascii="Times New Roman" w:hAnsi="Times New Roman"/>
          <w:b/>
          <w:i w:val="0"/>
          <w:color w:val="000000"/>
          <w:sz w:val="24"/>
        </w:rPr>
        <w:t xml:space="preserve">Interest Rate Risk:  </w:t>
      </w:r>
      <w:r>
        <w:rPr>
          <w:rFonts w:ascii="Times New Roman" w:hAnsi="Times New Roman"/>
          <w:b w:val="0"/>
          <w:i w:val="0"/>
          <w:color w:val="000000"/>
          <w:sz w:val="24"/>
        </w:rPr>
        <w:t>Because they deal in long-term assets and short-term liabilities, sudden changes in market interest rates can drastically impact their profit margins.</w:t>
      </w:r>
    </w:p>
    <w:p>
      <w:pPr>
        <w:spacing w:before="0" w:after="80" w:line="360" w:lineRule="auto"/>
        <w:ind w:left="504"/>
        <w:jc w:val="both"/>
      </w:pPr>
      <w:r>
        <w:rPr>
          <w:rFonts w:ascii="Times New Roman" w:hAnsi="Times New Roman"/>
          <w:b/>
          <w:i w:val="0"/>
          <w:color w:val="000000"/>
          <w:sz w:val="24"/>
        </w:rPr>
        <w:t xml:space="preserve">Credit/Default Risk:  </w:t>
      </w:r>
      <w:r>
        <w:rPr>
          <w:rFonts w:ascii="Times New Roman" w:hAnsi="Times New Roman"/>
          <w:b w:val="0"/>
          <w:i w:val="0"/>
          <w:color w:val="000000"/>
          <w:sz w:val="24"/>
        </w:rPr>
        <w:t>The primary risk is that borrowers will fail to repay their loans, which directly affects the financial institution's solvency and capital base.</w:t>
      </w:r>
    </w:p>
    <w:p>
      <w:pPr>
        <w:spacing w:before="0" w:after="80" w:line="360" w:lineRule="auto"/>
        <w:ind w:left="504"/>
        <w:jc w:val="both"/>
      </w:pPr>
      <w:r>
        <w:rPr>
          <w:rFonts w:ascii="Times New Roman" w:hAnsi="Times New Roman"/>
          <w:b/>
          <w:i w:val="0"/>
          <w:color w:val="000000"/>
          <w:sz w:val="24"/>
        </w:rPr>
        <w:t xml:space="preserve">Liquidity Risk:  </w:t>
      </w:r>
      <w:r>
        <w:rPr>
          <w:rFonts w:ascii="Times New Roman" w:hAnsi="Times New Roman"/>
          <w:b w:val="0"/>
          <w:i w:val="0"/>
          <w:color w:val="000000"/>
          <w:sz w:val="24"/>
        </w:rPr>
        <w:t>A sudden surge in depositor withdrawals can leave a bank unable to meet its short-term obligations, even if it is technically solvent.</w:t>
      </w:r>
    </w:p>
    <w:p>
      <w:pPr>
        <w:spacing w:before="240" w:after="120" w:line="360" w:lineRule="auto"/>
        <w:jc w:val="both"/>
      </w:pPr>
      <w:r>
        <w:rPr>
          <w:rFonts w:ascii="Times New Roman" w:hAnsi="Times New Roman"/>
          <w:b/>
          <w:i/>
          <w:color w:val="000000"/>
          <w:sz w:val="24"/>
        </w:rPr>
        <w:t>b) With reference to at least two different types of depository institutions (banks, insurance companies, or security firms), explain how their operational characteristics expose them to different types of risks. (5 Marks)</w:t>
      </w:r>
    </w:p>
    <w:p>
      <w:pPr>
        <w:spacing w:before="0" w:after="120" w:line="360" w:lineRule="auto"/>
        <w:jc w:val="both"/>
      </w:pPr>
      <w:r>
        <w:rPr>
          <w:rFonts w:ascii="Times New Roman" w:hAnsi="Times New Roman"/>
          <w:b w:val="0"/>
          <w:i w:val="0"/>
          <w:color w:val="000000"/>
          <w:sz w:val="24"/>
        </w:rPr>
        <w:t>The way a financial institution operates — what it takes in as liabilities and what it invests in as assets — determines the specific risks it faces. Two key types of financial institutions are examined below.</w:t>
      </w:r>
    </w:p>
    <w:p>
      <w:pPr>
        <w:spacing w:before="200" w:after="80" w:line="360" w:lineRule="auto"/>
        <w:jc w:val="left"/>
      </w:pPr>
      <w:r>
        <w:rPr>
          <w:rFonts w:ascii="Times New Roman" w:hAnsi="Times New Roman"/>
          <w:b/>
          <w:i w:val="0"/>
          <w:color w:val="000000"/>
          <w:sz w:val="24"/>
        </w:rPr>
        <w:t>i. Commercial Banks</w:t>
      </w:r>
    </w:p>
    <w:p>
      <w:pPr>
        <w:spacing w:before="0" w:after="120" w:line="360" w:lineRule="auto"/>
        <w:jc w:val="both"/>
      </w:pPr>
      <w:r>
        <w:rPr>
          <w:rFonts w:ascii="Times New Roman" w:hAnsi="Times New Roman"/>
          <w:b w:val="0"/>
          <w:i w:val="0"/>
          <w:color w:val="000000"/>
          <w:sz w:val="24"/>
        </w:rPr>
        <w:t>Banks take in deposits (savings and checking accounts) that customers can withdraw at any time, then use those deposits to issue long-term loans (mortgages and business loans). This business model exposes them to the following risks:</w:t>
      </w:r>
    </w:p>
    <w:p>
      <w:pPr>
        <w:spacing w:before="0" w:after="80" w:line="360" w:lineRule="auto"/>
        <w:ind w:left="504"/>
        <w:jc w:val="both"/>
      </w:pPr>
      <w:r>
        <w:rPr>
          <w:rFonts w:ascii="Times New Roman" w:hAnsi="Times New Roman"/>
          <w:b/>
          <w:i w:val="0"/>
          <w:color w:val="000000"/>
          <w:sz w:val="24"/>
        </w:rPr>
        <w:t xml:space="preserve">Liquidity Risk:  </w:t>
      </w:r>
      <w:r>
        <w:rPr>
          <w:rFonts w:ascii="Times New Roman" w:hAnsi="Times New Roman"/>
          <w:b w:val="0"/>
          <w:i w:val="0"/>
          <w:color w:val="000000"/>
          <w:sz w:val="24"/>
        </w:rPr>
        <w:t>Because liabilities are on demand but assets are locked in for years, a bank faces risk if too many depositors want their money back simultaneously (a "bank run").</w:t>
      </w:r>
    </w:p>
    <w:p>
      <w:pPr>
        <w:spacing w:before="0" w:after="80" w:line="360" w:lineRule="auto"/>
        <w:ind w:left="504"/>
        <w:jc w:val="both"/>
      </w:pPr>
      <w:r>
        <w:rPr>
          <w:rFonts w:ascii="Times New Roman" w:hAnsi="Times New Roman"/>
          <w:b/>
          <w:i w:val="0"/>
          <w:color w:val="000000"/>
          <w:sz w:val="24"/>
        </w:rPr>
        <w:t xml:space="preserve">Credit/Default Risk:  </w:t>
      </w:r>
      <w:r>
        <w:rPr>
          <w:rFonts w:ascii="Times New Roman" w:hAnsi="Times New Roman"/>
          <w:b w:val="0"/>
          <w:i w:val="0"/>
          <w:color w:val="000000"/>
          <w:sz w:val="24"/>
        </w:rPr>
        <w:t>The risk that borrowers will not repay their loans, leading to a loss of the bank's principal and interest income.</w:t>
      </w:r>
    </w:p>
    <w:p>
      <w:pPr>
        <w:spacing w:before="0" w:after="80" w:line="360" w:lineRule="auto"/>
        <w:ind w:left="504"/>
        <w:jc w:val="both"/>
      </w:pPr>
      <w:r>
        <w:rPr>
          <w:rFonts w:ascii="Times New Roman" w:hAnsi="Times New Roman"/>
          <w:b/>
          <w:i w:val="0"/>
          <w:color w:val="000000"/>
          <w:sz w:val="24"/>
        </w:rPr>
        <w:t xml:space="preserve">Interest Rate Risk:  </w:t>
      </w:r>
      <w:r>
        <w:rPr>
          <w:rFonts w:ascii="Times New Roman" w:hAnsi="Times New Roman"/>
          <w:b w:val="0"/>
          <w:i w:val="0"/>
          <w:color w:val="000000"/>
          <w:sz w:val="24"/>
        </w:rPr>
        <w:t>If market interest rates rise, the bank must pay more to retain its depositors, but the income from its older, fixed-rate loans stays the same, squeezing profit margins.</w:t>
      </w:r>
    </w:p>
    <w:p>
      <w:pPr>
        <w:spacing w:before="200" w:after="80" w:line="360" w:lineRule="auto"/>
        <w:jc w:val="left"/>
      </w:pPr>
      <w:r>
        <w:rPr>
          <w:rFonts w:ascii="Times New Roman" w:hAnsi="Times New Roman"/>
          <w:b/>
          <w:i w:val="0"/>
          <w:color w:val="000000"/>
          <w:sz w:val="24"/>
        </w:rPr>
        <w:t>ii. Insurance Companies</w:t>
      </w:r>
    </w:p>
    <w:p>
      <w:pPr>
        <w:spacing w:before="0" w:after="120" w:line="360" w:lineRule="auto"/>
        <w:jc w:val="both"/>
      </w:pPr>
      <w:r>
        <w:rPr>
          <w:rFonts w:ascii="Times New Roman" w:hAnsi="Times New Roman"/>
          <w:b w:val="0"/>
          <w:i w:val="0"/>
          <w:color w:val="000000"/>
          <w:sz w:val="24"/>
        </w:rPr>
        <w:t>Insurance companies collect premiums in exchange for a promise to pay out if a specific event occurs (death, accident, fire). They invest these premiums in long-term, safe securities (such as government bonds) to ensure they have funds for future claims. Their resulting risks include:</w:t>
      </w:r>
    </w:p>
    <w:p>
      <w:pPr>
        <w:spacing w:before="0" w:after="80" w:line="360" w:lineRule="auto"/>
        <w:ind w:left="504"/>
        <w:jc w:val="both"/>
      </w:pPr>
      <w:r>
        <w:rPr>
          <w:rFonts w:ascii="Times New Roman" w:hAnsi="Times New Roman"/>
          <w:b/>
          <w:i w:val="0"/>
          <w:color w:val="000000"/>
          <w:sz w:val="24"/>
        </w:rPr>
        <w:t xml:space="preserve">Underwriting Risk:  </w:t>
      </w:r>
      <w:r>
        <w:rPr>
          <w:rFonts w:ascii="Times New Roman" w:hAnsi="Times New Roman"/>
          <w:b w:val="0"/>
          <w:i w:val="0"/>
          <w:color w:val="000000"/>
          <w:sz w:val="24"/>
        </w:rPr>
        <w:t>The risk that actual claims paid out are much higher than the premiums collected — for example, due to a natural disaster or an unexpected spike in mortality rates.</w:t>
      </w:r>
    </w:p>
    <w:p>
      <w:pPr>
        <w:spacing w:before="0" w:after="80" w:line="360" w:lineRule="auto"/>
        <w:ind w:left="504"/>
        <w:jc w:val="both"/>
      </w:pPr>
      <w:r>
        <w:rPr>
          <w:rFonts w:ascii="Times New Roman" w:hAnsi="Times New Roman"/>
          <w:b/>
          <w:i w:val="0"/>
          <w:color w:val="000000"/>
          <w:sz w:val="24"/>
        </w:rPr>
        <w:t xml:space="preserve">Investment Risk:  </w:t>
      </w:r>
      <w:r>
        <w:rPr>
          <w:rFonts w:ascii="Times New Roman" w:hAnsi="Times New Roman"/>
          <w:b w:val="0"/>
          <w:i w:val="0"/>
          <w:color w:val="000000"/>
          <w:sz w:val="24"/>
        </w:rPr>
        <w:t>Since they hold long-duration assets, insurance companies are highly sensitive to market crashes or inflation that devalues their long-term bond holdings, reducing their ability to meet future claim obligations.</w:t>
      </w:r>
    </w:p>
    <w:p>
      <w:r>
        <w:br w:type="page"/>
      </w:r>
    </w:p>
    <w:p>
      <w:pPr>
        <w:spacing w:before="280" w:after="120" w:line="360" w:lineRule="auto"/>
        <w:jc w:val="left"/>
      </w:pPr>
      <w:r>
        <w:rPr>
          <w:rFonts w:ascii="Times New Roman" w:hAnsi="Times New Roman"/>
          <w:b/>
          <w:i w:val="0"/>
          <w:color w:val="000000"/>
          <w:sz w:val="24"/>
        </w:rPr>
        <w:t>QUESTION TWO</w:t>
      </w:r>
    </w:p>
    <w:p>
      <w:pPr>
        <w:spacing w:before="80" w:after="120" w:line="360" w:lineRule="auto"/>
        <w:jc w:val="both"/>
      </w:pPr>
      <w:r>
        <w:rPr>
          <w:rFonts w:ascii="Times New Roman" w:hAnsi="Times New Roman"/>
          <w:b/>
          <w:i/>
          <w:color w:val="000000"/>
          <w:sz w:val="24"/>
        </w:rPr>
        <w:t>a) Define interest rate risk and explain the two primary sources of interest rate risk exposure in a bank's balance sheet. (5 Marks)</w:t>
      </w:r>
    </w:p>
    <w:p>
      <w:pPr>
        <w:spacing w:before="0" w:after="120" w:line="360" w:lineRule="auto"/>
        <w:jc w:val="both"/>
      </w:pPr>
      <w:r>
        <w:rPr>
          <w:rFonts w:ascii="Times New Roman" w:hAnsi="Times New Roman"/>
          <w:b w:val="0"/>
          <w:i w:val="0"/>
          <w:color w:val="000000"/>
          <w:sz w:val="24"/>
        </w:rPr>
        <w:t>Interest rate risk is the potential for a bank's financial condition — specifically its earnings (Net Interest Income) and the economic value of its equity — to be adversely affected by movements in market interest rates. It is one of the most significant financial risks facing depository institutions such as banks.</w:t>
      </w:r>
    </w:p>
    <w:p>
      <w:pPr>
        <w:spacing w:before="200" w:after="80" w:line="360" w:lineRule="auto"/>
        <w:jc w:val="left"/>
      </w:pPr>
      <w:r>
        <w:rPr>
          <w:rFonts w:ascii="Times New Roman" w:hAnsi="Times New Roman"/>
          <w:b/>
          <w:i w:val="0"/>
          <w:color w:val="000000"/>
          <w:sz w:val="24"/>
        </w:rPr>
        <w:t>Two Primary Sources of Interest Rate Risk</w:t>
      </w:r>
    </w:p>
    <w:p>
      <w:pPr>
        <w:spacing w:before="0" w:after="80" w:line="360" w:lineRule="auto"/>
        <w:ind w:left="504"/>
        <w:jc w:val="both"/>
      </w:pPr>
      <w:r>
        <w:rPr>
          <w:rFonts w:ascii="Times New Roman" w:hAnsi="Times New Roman"/>
          <w:b/>
          <w:i w:val="0"/>
          <w:color w:val="000000"/>
          <w:sz w:val="24"/>
        </w:rPr>
        <w:t xml:space="preserve">1. Repricing Risk (Maturity Mismatch):  </w:t>
      </w:r>
      <w:r>
        <w:rPr>
          <w:rFonts w:ascii="Times New Roman" w:hAnsi="Times New Roman"/>
          <w:b w:val="0"/>
          <w:i w:val="0"/>
          <w:color w:val="000000"/>
          <w:sz w:val="24"/>
        </w:rPr>
        <w:t>This is the most common form of interest rate risk. It arises from timing differences in the maturity (for fixed-rate instruments) and repricing (for floating-rate instruments) of bank assets, liabilities, and off-balance sheet positions. For example, if a bank funds a long-term, fixed-rate mortgage with short-term certificates of deposit (a liability), it faces risk: if interest rates rise, the bank must pay more to depositors to retain funding, while the income from the mortgage remains fixed, squeezing profit margins.</w:t>
      </w:r>
    </w:p>
    <w:p>
      <w:pPr>
        <w:spacing w:before="0" w:after="80" w:line="360" w:lineRule="auto"/>
        <w:ind w:left="504"/>
        <w:jc w:val="both"/>
      </w:pPr>
      <w:r>
        <w:rPr>
          <w:rFonts w:ascii="Times New Roman" w:hAnsi="Times New Roman"/>
          <w:b/>
          <w:i w:val="0"/>
          <w:color w:val="000000"/>
          <w:sz w:val="24"/>
        </w:rPr>
        <w:t xml:space="preserve">2. Basis Risk:  </w:t>
      </w:r>
      <w:r>
        <w:rPr>
          <w:rFonts w:ascii="Times New Roman" w:hAnsi="Times New Roman"/>
          <w:b w:val="0"/>
          <w:i w:val="0"/>
          <w:color w:val="000000"/>
          <w:sz w:val="24"/>
        </w:rPr>
        <w:t>This occurs when the interest rates on different instruments change by different amounts or at different times, even if they have similar repricing frequencies. For example, a bank might have a loan priced based on the prime rate but funded by deposits priced based on LIBOR. Even if both rates move in the same direction, if the cost of LIBOR-based deposits rises faster than the income from prime-based loans, the bank's net interest margin will decline.</w:t>
      </w:r>
    </w:p>
    <w:p>
      <w:pPr>
        <w:spacing w:before="240" w:after="120" w:line="360" w:lineRule="auto"/>
        <w:jc w:val="both"/>
      </w:pPr>
      <w:r>
        <w:rPr>
          <w:rFonts w:ascii="Times New Roman" w:hAnsi="Times New Roman"/>
          <w:b/>
          <w:i/>
          <w:color w:val="000000"/>
          <w:sz w:val="24"/>
        </w:rPr>
        <w:t>b) Discuss the concept of duration as a measure of interest rate sensitivity, and illustrate with a practical example how duration gap analysis helps a bank manage its interest rate risk exposure. (5 Marks)</w:t>
      </w:r>
    </w:p>
    <w:p>
      <w:pPr>
        <w:spacing w:before="0" w:after="120" w:line="360" w:lineRule="auto"/>
        <w:jc w:val="both"/>
      </w:pPr>
      <w:r>
        <w:rPr>
          <w:rFonts w:ascii="Times New Roman" w:hAnsi="Times New Roman"/>
          <w:b w:val="0"/>
          <w:i w:val="0"/>
          <w:color w:val="000000"/>
          <w:sz w:val="24"/>
        </w:rPr>
        <w:t>Duration is a comprehensive measure of the timing of the cash flows of a financial instrument. Unlike simple maturity, it accounts for the size and timing of all interest and principal payments, providing a more precise measure of interest rate sensitivity.</w:t>
      </w:r>
    </w:p>
    <w:p>
      <w:pPr>
        <w:spacing w:before="200" w:after="80" w:line="360" w:lineRule="auto"/>
        <w:jc w:val="left"/>
      </w:pPr>
      <w:r>
        <w:rPr>
          <w:rFonts w:ascii="Times New Roman" w:hAnsi="Times New Roman"/>
          <w:b/>
          <w:i w:val="0"/>
          <w:color w:val="000000"/>
          <w:sz w:val="24"/>
        </w:rPr>
        <w:t>Key Properties of Duration</w:t>
      </w:r>
    </w:p>
    <w:p>
      <w:pPr>
        <w:spacing w:before="0" w:after="80" w:line="360" w:lineRule="auto"/>
        <w:ind w:left="504"/>
        <w:jc w:val="both"/>
      </w:pPr>
      <w:r>
        <w:rPr>
          <w:rFonts w:ascii="Times New Roman" w:hAnsi="Times New Roman"/>
          <w:b/>
          <w:i w:val="0"/>
          <w:color w:val="000000"/>
          <w:sz w:val="24"/>
        </w:rPr>
        <w:t xml:space="preserve">Sensitivity:  </w:t>
      </w:r>
      <w:r>
        <w:rPr>
          <w:rFonts w:ascii="Times New Roman" w:hAnsi="Times New Roman"/>
          <w:b w:val="0"/>
          <w:i w:val="0"/>
          <w:color w:val="000000"/>
          <w:sz w:val="24"/>
        </w:rPr>
        <w:t>Duration measures how much the price (or market value) of a financial asset or liability changes when interest rates change.</w:t>
      </w:r>
    </w:p>
    <w:p>
      <w:pPr>
        <w:spacing w:before="0" w:after="80" w:line="360" w:lineRule="auto"/>
        <w:ind w:left="504"/>
        <w:jc w:val="both"/>
      </w:pPr>
      <w:r>
        <w:rPr>
          <w:rFonts w:ascii="Times New Roman" w:hAnsi="Times New Roman"/>
          <w:b/>
          <w:i w:val="0"/>
          <w:color w:val="000000"/>
          <w:sz w:val="24"/>
        </w:rPr>
        <w:t xml:space="preserve">The Inverse Relationship:  </w:t>
      </w:r>
      <w:r>
        <w:rPr>
          <w:rFonts w:ascii="Times New Roman" w:hAnsi="Times New Roman"/>
          <w:b w:val="0"/>
          <w:i w:val="0"/>
          <w:color w:val="000000"/>
          <w:sz w:val="24"/>
        </w:rPr>
        <w:t>There is an inverse relationship between interest rates and the value of fixed-income instruments. If interest rates rise, the market value of the instrument falls.</w:t>
      </w:r>
    </w:p>
    <w:p>
      <w:pPr>
        <w:spacing w:before="0" w:after="80" w:line="360" w:lineRule="auto"/>
        <w:ind w:left="504"/>
        <w:jc w:val="both"/>
      </w:pPr>
      <w:r>
        <w:rPr>
          <w:rFonts w:ascii="Times New Roman" w:hAnsi="Times New Roman"/>
          <w:b/>
          <w:i w:val="0"/>
          <w:color w:val="000000"/>
          <w:sz w:val="24"/>
        </w:rPr>
        <w:t xml:space="preserve">The Rule of Thumb:  </w:t>
      </w:r>
      <w:r>
        <w:rPr>
          <w:rFonts w:ascii="Times New Roman" w:hAnsi="Times New Roman"/>
          <w:b w:val="0"/>
          <w:i w:val="0"/>
          <w:color w:val="000000"/>
          <w:sz w:val="24"/>
        </w:rPr>
        <w:t>A duration of 5 years implies that for every 1% increase in interest rates, the value of the instrument will decrease by approximately 5%.</w:t>
      </w:r>
    </w:p>
    <w:p>
      <w:pPr>
        <w:spacing w:before="200" w:after="80" w:line="360" w:lineRule="auto"/>
        <w:jc w:val="left"/>
      </w:pPr>
      <w:r>
        <w:rPr>
          <w:rFonts w:ascii="Times New Roman" w:hAnsi="Times New Roman"/>
          <w:b/>
          <w:i w:val="0"/>
          <w:color w:val="000000"/>
          <w:sz w:val="24"/>
        </w:rPr>
        <w:t>Duration Gap Analysis</w:t>
      </w:r>
    </w:p>
    <w:p>
      <w:pPr>
        <w:spacing w:before="0" w:after="120" w:line="360" w:lineRule="auto"/>
        <w:jc w:val="both"/>
      </w:pPr>
      <w:r>
        <w:rPr>
          <w:rFonts w:ascii="Times New Roman" w:hAnsi="Times New Roman"/>
          <w:b w:val="0"/>
          <w:i w:val="0"/>
          <w:color w:val="000000"/>
          <w:sz w:val="24"/>
        </w:rPr>
        <w:t>The Duration Gap (DGAP) measures the sensitivity of a bank's net worth to changes in interest rates and is calculated as:</w:t>
      </w:r>
    </w:p>
    <w:p>
      <w:pPr>
        <w:spacing w:before="120" w:after="80" w:line="360" w:lineRule="auto"/>
        <w:jc w:val="center"/>
      </w:pPr>
      <w:r>
        <w:rPr>
          <w:rFonts w:ascii="Times New Roman" w:hAnsi="Times New Roman"/>
          <w:b/>
          <w:i w:val="0"/>
          <w:color w:val="000000"/>
          <w:sz w:val="24"/>
        </w:rPr>
        <w:t>DGAP = DA − (L/A × DL)</w:t>
      </w:r>
    </w:p>
    <w:p>
      <w:pPr>
        <w:spacing w:before="0" w:after="80" w:line="360" w:lineRule="auto"/>
        <w:ind w:left="504"/>
        <w:jc w:val="both"/>
      </w:pPr>
      <w:r>
        <w:rPr>
          <w:rFonts w:ascii="Times New Roman" w:hAnsi="Times New Roman"/>
          <w:b w:val="0"/>
          <w:i w:val="0"/>
          <w:color w:val="000000"/>
          <w:sz w:val="24"/>
        </w:rPr>
        <w:t>DA = Average duration of assets</w:t>
      </w:r>
    </w:p>
    <w:p>
      <w:pPr>
        <w:spacing w:before="0" w:after="80" w:line="360" w:lineRule="auto"/>
        <w:ind w:left="504"/>
        <w:jc w:val="both"/>
      </w:pPr>
      <w:r>
        <w:rPr>
          <w:rFonts w:ascii="Times New Roman" w:hAnsi="Times New Roman"/>
          <w:b w:val="0"/>
          <w:i w:val="0"/>
          <w:color w:val="000000"/>
          <w:sz w:val="24"/>
        </w:rPr>
        <w:t>DL = Average duration of liabilities</w:t>
      </w:r>
    </w:p>
    <w:p>
      <w:pPr>
        <w:spacing w:before="0" w:after="80" w:line="360" w:lineRule="auto"/>
        <w:ind w:left="504"/>
        <w:jc w:val="both"/>
      </w:pPr>
      <w:r>
        <w:rPr>
          <w:rFonts w:ascii="Times New Roman" w:hAnsi="Times New Roman"/>
          <w:b w:val="0"/>
          <w:i w:val="0"/>
          <w:color w:val="000000"/>
          <w:sz w:val="24"/>
        </w:rPr>
        <w:t>L/A = Ratio of total liabilities to total assets</w:t>
      </w:r>
    </w:p>
    <w:p>
      <w:pPr>
        <w:spacing w:before="200" w:after="80" w:line="360" w:lineRule="auto"/>
        <w:jc w:val="left"/>
      </w:pPr>
      <w:r>
        <w:rPr>
          <w:rFonts w:ascii="Times New Roman" w:hAnsi="Times New Roman"/>
          <w:b/>
          <w:i w:val="0"/>
          <w:color w:val="000000"/>
          <w:sz w:val="24"/>
        </w:rPr>
        <w:t>Practical Example</w:t>
      </w:r>
    </w:p>
    <w:p>
      <w:pPr>
        <w:spacing w:before="0" w:after="120" w:line="360" w:lineRule="auto"/>
        <w:jc w:val="both"/>
      </w:pPr>
      <w:r>
        <w:rPr>
          <w:rFonts w:ascii="Times New Roman" w:hAnsi="Times New Roman"/>
          <w:b w:val="0"/>
          <w:i w:val="0"/>
          <w:color w:val="000000"/>
          <w:sz w:val="24"/>
        </w:rPr>
        <w:t>Imagine a bank with the following balance sheet:</w:t>
      </w:r>
    </w:p>
    <w:p>
      <w:pPr>
        <w:spacing w:before="0" w:after="80" w:line="360" w:lineRule="auto"/>
        <w:ind w:left="504"/>
        <w:jc w:val="both"/>
      </w:pPr>
      <w:r>
        <w:rPr>
          <w:rFonts w:ascii="Times New Roman" w:hAnsi="Times New Roman"/>
          <w:b w:val="0"/>
          <w:i w:val="0"/>
          <w:color w:val="000000"/>
          <w:sz w:val="24"/>
        </w:rPr>
        <w:t>Assets (A): Ksh 100 million in long-term loans with a duration (DA) of 6 years.</w:t>
      </w:r>
    </w:p>
    <w:p>
      <w:pPr>
        <w:spacing w:before="0" w:after="80" w:line="360" w:lineRule="auto"/>
        <w:ind w:left="504"/>
        <w:jc w:val="both"/>
      </w:pPr>
      <w:r>
        <w:rPr>
          <w:rFonts w:ascii="Times New Roman" w:hAnsi="Times New Roman"/>
          <w:b w:val="0"/>
          <w:i w:val="0"/>
          <w:color w:val="000000"/>
          <w:sz w:val="24"/>
        </w:rPr>
        <w:t>Liabilities (L): Ksh 90 million in short-term deposits with a duration (DL) of 1 year.</w:t>
      </w:r>
    </w:p>
    <w:p>
      <w:pPr>
        <w:spacing w:before="0" w:after="80" w:line="360" w:lineRule="auto"/>
        <w:ind w:left="504"/>
        <w:jc w:val="both"/>
      </w:pPr>
      <w:r>
        <w:rPr>
          <w:rFonts w:ascii="Times New Roman" w:hAnsi="Times New Roman"/>
          <w:b w:val="0"/>
          <w:i w:val="0"/>
          <w:color w:val="000000"/>
          <w:sz w:val="24"/>
        </w:rPr>
        <w:t>Equity: Ksh 10 million.</w:t>
      </w:r>
    </w:p>
    <w:p>
      <w:pPr>
        <w:spacing w:before="80" w:after="80" w:line="360" w:lineRule="auto"/>
        <w:jc w:val="center"/>
      </w:pPr>
      <w:r>
        <w:rPr>
          <w:rFonts w:ascii="Times New Roman" w:hAnsi="Times New Roman"/>
          <w:b/>
          <w:i w:val="0"/>
          <w:color w:val="000000"/>
          <w:sz w:val="24"/>
        </w:rPr>
        <w:t>DGAP = 6 − (90/100 × 1) = 6 − 0.9 = 5.1 years</w:t>
      </w:r>
    </w:p>
    <w:p>
      <w:pPr>
        <w:spacing w:before="0" w:after="120" w:line="360" w:lineRule="auto"/>
        <w:jc w:val="both"/>
      </w:pPr>
      <w:r>
        <w:rPr>
          <w:rFonts w:ascii="Times New Roman" w:hAnsi="Times New Roman"/>
          <w:b w:val="0"/>
          <w:i w:val="0"/>
          <w:color w:val="000000"/>
          <w:sz w:val="24"/>
        </w:rPr>
        <w:t>This large positive DGAP means the bank's assets have a much longer duration than its liabilities. If interest rates rise by 1%:</w:t>
      </w:r>
    </w:p>
    <w:p>
      <w:pPr>
        <w:spacing w:before="0" w:after="80" w:line="360" w:lineRule="auto"/>
        <w:ind w:left="504"/>
        <w:jc w:val="both"/>
      </w:pPr>
      <w:r>
        <w:rPr>
          <w:rFonts w:ascii="Times New Roman" w:hAnsi="Times New Roman"/>
          <w:b w:val="0"/>
          <w:i w:val="0"/>
          <w:color w:val="000000"/>
          <w:sz w:val="24"/>
        </w:rPr>
        <w:t>The value of the Ksh 100 million assets would drop by roughly 6% (−Ksh 6 million).</w:t>
      </w:r>
    </w:p>
    <w:p>
      <w:pPr>
        <w:spacing w:before="0" w:after="80" w:line="360" w:lineRule="auto"/>
        <w:ind w:left="504"/>
        <w:jc w:val="both"/>
      </w:pPr>
      <w:r>
        <w:rPr>
          <w:rFonts w:ascii="Times New Roman" w:hAnsi="Times New Roman"/>
          <w:b w:val="0"/>
          <w:i w:val="0"/>
          <w:color w:val="000000"/>
          <w:sz w:val="24"/>
        </w:rPr>
        <w:t>The value of the Ksh 90 million liabilities would drop by only 1% (−Ksh 0.9 million).</w:t>
      </w:r>
    </w:p>
    <w:p>
      <w:pPr>
        <w:spacing w:before="0" w:after="80" w:line="360" w:lineRule="auto"/>
        <w:ind w:left="504"/>
        <w:jc w:val="both"/>
      </w:pPr>
      <w:r>
        <w:rPr>
          <w:rFonts w:ascii="Times New Roman" w:hAnsi="Times New Roman"/>
          <w:b w:val="0"/>
          <w:i w:val="0"/>
          <w:color w:val="000000"/>
          <w:sz w:val="24"/>
        </w:rPr>
        <w:t>The bank's equity would therefore decline by Ksh 5.1 million (Ksh 6m loss on assets offset by only Ksh 0.9m gain on liabilities), wiping out over half of the bank's capital.</w:t>
      </w:r>
    </w:p>
    <w:p>
      <w:pPr>
        <w:spacing w:before="0" w:after="120" w:line="360" w:lineRule="auto"/>
        <w:jc w:val="both"/>
      </w:pPr>
      <w:r>
        <w:rPr>
          <w:rFonts w:ascii="Times New Roman" w:hAnsi="Times New Roman"/>
          <w:b w:val="0"/>
          <w:i w:val="0"/>
          <w:color w:val="000000"/>
          <w:sz w:val="24"/>
        </w:rPr>
        <w:t>This analysis shows that to manage interest rate risk, the bank should seek to reduce its DGAP — either by shortening the duration of its assets, extending the duration of its liabilities, or using interest rate derivatives such as swaps.</w:t>
      </w:r>
    </w:p>
    <w:p>
      <w:r>
        <w:br w:type="page"/>
      </w:r>
    </w:p>
    <w:p>
      <w:pPr>
        <w:spacing w:before="280" w:after="120" w:line="360" w:lineRule="auto"/>
        <w:jc w:val="left"/>
      </w:pPr>
      <w:r>
        <w:rPr>
          <w:rFonts w:ascii="Times New Roman" w:hAnsi="Times New Roman"/>
          <w:b/>
          <w:i w:val="0"/>
          <w:color w:val="000000"/>
          <w:sz w:val="24"/>
        </w:rPr>
        <w:t>QUESTION THREE</w:t>
      </w:r>
    </w:p>
    <w:p>
      <w:pPr>
        <w:spacing w:before="0" w:after="120" w:line="360" w:lineRule="auto"/>
        <w:jc w:val="both"/>
      </w:pPr>
      <w:r>
        <w:rPr>
          <w:rFonts w:ascii="Times New Roman" w:hAnsi="Times New Roman"/>
          <w:b w:val="0"/>
          <w:i w:val="0"/>
          <w:color w:val="000000"/>
          <w:sz w:val="24"/>
        </w:rPr>
        <w:t>Credit risk remains a fundamental concern for all financial institutions engaged in lending activities.</w:t>
      </w:r>
    </w:p>
    <w:p>
      <w:pPr>
        <w:spacing w:before="80" w:after="120" w:line="360" w:lineRule="auto"/>
        <w:jc w:val="both"/>
      </w:pPr>
      <w:r>
        <w:rPr>
          <w:rFonts w:ascii="Times New Roman" w:hAnsi="Times New Roman"/>
          <w:b/>
          <w:i/>
          <w:color w:val="000000"/>
          <w:sz w:val="24"/>
        </w:rPr>
        <w:t>a) Explain what credit risk is and discuss the key components that determine a borrower's creditworthiness when financial institutions evaluate loan applications. (5 Marks)</w:t>
      </w:r>
    </w:p>
    <w:p>
      <w:pPr>
        <w:spacing w:before="0" w:after="120" w:line="360" w:lineRule="auto"/>
        <w:jc w:val="both"/>
      </w:pPr>
      <w:r>
        <w:rPr>
          <w:rFonts w:ascii="Times New Roman" w:hAnsi="Times New Roman"/>
          <w:b w:val="0"/>
          <w:i w:val="0"/>
          <w:color w:val="000000"/>
          <w:sz w:val="24"/>
        </w:rPr>
        <w:t>Credit risk is the risk that a borrower or counterparty fails to meet contractual obligations (principal and/or interest), leading to default losses for the lender. Essentially, it is the possibility of a loss resulting from a borrower's failure to repay a loan or meet contractual obligations.</w:t>
      </w:r>
    </w:p>
    <w:p>
      <w:pPr>
        <w:spacing w:before="200" w:after="80" w:line="360" w:lineRule="auto"/>
        <w:jc w:val="left"/>
      </w:pPr>
      <w:r>
        <w:rPr>
          <w:rFonts w:ascii="Times New Roman" w:hAnsi="Times New Roman"/>
          <w:b/>
          <w:i w:val="0"/>
          <w:color w:val="000000"/>
          <w:sz w:val="24"/>
        </w:rPr>
        <w:t>Key Components of Creditworthiness: The 5 Cs of Credit</w:t>
      </w:r>
    </w:p>
    <w:p>
      <w:pPr>
        <w:spacing w:before="0" w:after="120" w:line="360" w:lineRule="auto"/>
        <w:jc w:val="both"/>
      </w:pPr>
      <w:r>
        <w:rPr>
          <w:rFonts w:ascii="Times New Roman" w:hAnsi="Times New Roman"/>
          <w:b w:val="0"/>
          <w:i w:val="0"/>
          <w:color w:val="000000"/>
          <w:sz w:val="24"/>
        </w:rPr>
        <w:t>When financial institutions evaluate loan applications, they typically use a framework known as the 5 Cs of Credit to determine a borrower's creditworthiness:</w:t>
      </w:r>
    </w:p>
    <w:p>
      <w:pPr>
        <w:spacing w:before="0" w:after="80" w:line="360" w:lineRule="auto"/>
        <w:ind w:left="504"/>
        <w:jc w:val="both"/>
      </w:pPr>
      <w:r>
        <w:rPr>
          <w:rFonts w:ascii="Times New Roman" w:hAnsi="Times New Roman"/>
          <w:b/>
          <w:i w:val="0"/>
          <w:color w:val="000000"/>
          <w:sz w:val="24"/>
        </w:rPr>
        <w:t xml:space="preserve">1) Character:  </w:t>
      </w:r>
      <w:r>
        <w:rPr>
          <w:rFonts w:ascii="Times New Roman" w:hAnsi="Times New Roman"/>
          <w:b w:val="0"/>
          <w:i w:val="0"/>
          <w:color w:val="000000"/>
          <w:sz w:val="24"/>
        </w:rPr>
        <w:t>This refers to the borrower's reputation or track record for repaying debts. Lenders examine credit reports and credit scores to see how reliably the applicant has handled credit in the past. It reflects the borrower's honesty and reliability.</w:t>
      </w:r>
    </w:p>
    <w:p>
      <w:pPr>
        <w:spacing w:before="0" w:after="80" w:line="360" w:lineRule="auto"/>
        <w:ind w:left="504"/>
        <w:jc w:val="both"/>
      </w:pPr>
      <w:r>
        <w:rPr>
          <w:rFonts w:ascii="Times New Roman" w:hAnsi="Times New Roman"/>
          <w:b/>
          <w:i w:val="0"/>
          <w:color w:val="000000"/>
          <w:sz w:val="24"/>
        </w:rPr>
        <w:t xml:space="preserve">2) Capital:  </w:t>
      </w:r>
      <w:r>
        <w:rPr>
          <w:rFonts w:ascii="Times New Roman" w:hAnsi="Times New Roman"/>
          <w:b w:val="0"/>
          <w:i w:val="0"/>
          <w:color w:val="000000"/>
          <w:sz w:val="24"/>
        </w:rPr>
        <w:t>This represents the borrower's own investment in the project or their overall net worth. A large down payment on a home or significant savings indicate the borrower has "skin in the game," which reduces the risk for the lender.</w:t>
      </w:r>
    </w:p>
    <w:p>
      <w:pPr>
        <w:spacing w:before="0" w:after="80" w:line="360" w:lineRule="auto"/>
        <w:ind w:left="504"/>
        <w:jc w:val="both"/>
      </w:pPr>
      <w:r>
        <w:rPr>
          <w:rFonts w:ascii="Times New Roman" w:hAnsi="Times New Roman"/>
          <w:b/>
          <w:i w:val="0"/>
          <w:color w:val="000000"/>
          <w:sz w:val="24"/>
        </w:rPr>
        <w:t xml:space="preserve">3) Collateral:  </w:t>
      </w:r>
      <w:r>
        <w:rPr>
          <w:rFonts w:ascii="Times New Roman" w:hAnsi="Times New Roman"/>
          <w:b w:val="0"/>
          <w:i w:val="0"/>
          <w:color w:val="000000"/>
          <w:sz w:val="24"/>
        </w:rPr>
        <w:t>Collateral consists of assets (such as a house, car, or equipment) that the borrower pledges as security for the loan. If the borrower defaults, the lender can seize the collateral to recover their losses.</w:t>
      </w:r>
    </w:p>
    <w:p>
      <w:pPr>
        <w:spacing w:before="0" w:after="80" w:line="360" w:lineRule="auto"/>
        <w:ind w:left="504"/>
        <w:jc w:val="both"/>
      </w:pPr>
      <w:r>
        <w:rPr>
          <w:rFonts w:ascii="Times New Roman" w:hAnsi="Times New Roman"/>
          <w:b/>
          <w:i w:val="0"/>
          <w:color w:val="000000"/>
          <w:sz w:val="24"/>
        </w:rPr>
        <w:t xml:space="preserve">4) Capacity:  </w:t>
      </w:r>
      <w:r>
        <w:rPr>
          <w:rFonts w:ascii="Times New Roman" w:hAnsi="Times New Roman"/>
          <w:b w:val="0"/>
          <w:i w:val="0"/>
          <w:color w:val="000000"/>
          <w:sz w:val="24"/>
        </w:rPr>
        <w:t>This measures the borrower's ability to repay the loan. Lenders compare the borrower's income against their recurring debts (the debt-to-income or DTI ratio), examining cash flow, job stability, and other income sources.</w:t>
      </w:r>
    </w:p>
    <w:p>
      <w:pPr>
        <w:spacing w:before="0" w:after="80" w:line="360" w:lineRule="auto"/>
        <w:ind w:left="504"/>
        <w:jc w:val="both"/>
      </w:pPr>
      <w:r>
        <w:rPr>
          <w:rFonts w:ascii="Times New Roman" w:hAnsi="Times New Roman"/>
          <w:b/>
          <w:i w:val="0"/>
          <w:color w:val="000000"/>
          <w:sz w:val="24"/>
        </w:rPr>
        <w:t xml:space="preserve">5) Conditions:  </w:t>
      </w:r>
      <w:r>
        <w:rPr>
          <w:rFonts w:ascii="Times New Roman" w:hAnsi="Times New Roman"/>
          <w:b w:val="0"/>
          <w:i w:val="0"/>
          <w:color w:val="000000"/>
          <w:sz w:val="24"/>
        </w:rPr>
        <w:t>This refers to external factors that could affect the borrower's ability to pay, including the purpose of the loan (e.g., business expansion), the state of the broader economy, and prevailing interest rate conditions.</w:t>
      </w:r>
    </w:p>
    <w:p>
      <w:pPr>
        <w:spacing w:before="240" w:after="120" w:line="360" w:lineRule="auto"/>
        <w:jc w:val="both"/>
      </w:pPr>
      <w:r>
        <w:rPr>
          <w:rFonts w:ascii="Times New Roman" w:hAnsi="Times New Roman"/>
          <w:b/>
          <w:i/>
          <w:color w:val="000000"/>
          <w:sz w:val="24"/>
        </w:rPr>
        <w:t>b) Discuss the various methods that financial institutions can employ to manage and mitigate credit risk exposure in their lending portfolios. Illustrate your answer with at least two practical examples. (5 Marks)</w:t>
      </w:r>
    </w:p>
    <w:p>
      <w:pPr>
        <w:spacing w:before="0" w:after="120" w:line="360" w:lineRule="auto"/>
        <w:jc w:val="both"/>
      </w:pPr>
      <w:r>
        <w:rPr>
          <w:rFonts w:ascii="Times New Roman" w:hAnsi="Times New Roman"/>
          <w:b w:val="0"/>
          <w:i w:val="0"/>
          <w:color w:val="000000"/>
          <w:sz w:val="24"/>
        </w:rPr>
        <w:t>Credit risk is the possibility of a loss resulting from a borrower's failure to repay a loan or meet contractual obligations. To mitigate this risk, financial institutions employ several strategies:</w:t>
      </w:r>
    </w:p>
    <w:p>
      <w:pPr>
        <w:spacing w:before="0" w:after="80" w:line="360" w:lineRule="auto"/>
        <w:ind w:left="504"/>
        <w:jc w:val="both"/>
      </w:pPr>
      <w:r>
        <w:rPr>
          <w:rFonts w:ascii="Times New Roman" w:hAnsi="Times New Roman"/>
          <w:b/>
          <w:i w:val="0"/>
          <w:color w:val="000000"/>
          <w:sz w:val="24"/>
        </w:rPr>
        <w:t xml:space="preserve">i) Credit Risk Assessment (5 Cs of Credit):  </w:t>
      </w:r>
      <w:r>
        <w:rPr>
          <w:rFonts w:ascii="Times New Roman" w:hAnsi="Times New Roman"/>
          <w:b w:val="0"/>
          <w:i w:val="0"/>
          <w:color w:val="000000"/>
          <w:sz w:val="24"/>
        </w:rPr>
        <w:t>Before lending, institutions evaluate a borrower's creditworthiness using the 5 Cs of Credit framework — Character, Capacity, Capital, Collateral, and Conditions. This ensures only creditworthy borrowers receive loans.</w:t>
      </w:r>
    </w:p>
    <w:p>
      <w:pPr>
        <w:spacing w:before="0" w:after="80" w:line="360" w:lineRule="auto"/>
        <w:ind w:left="504"/>
        <w:jc w:val="both"/>
      </w:pPr>
      <w:r>
        <w:rPr>
          <w:rFonts w:ascii="Times New Roman" w:hAnsi="Times New Roman"/>
          <w:b/>
          <w:i w:val="0"/>
          <w:color w:val="000000"/>
          <w:sz w:val="24"/>
        </w:rPr>
        <w:t xml:space="preserve">ii) Portfolio Diversification:  </w:t>
      </w:r>
      <w:r>
        <w:rPr>
          <w:rFonts w:ascii="Times New Roman" w:hAnsi="Times New Roman"/>
          <w:b w:val="0"/>
          <w:i w:val="0"/>
          <w:color w:val="000000"/>
          <w:sz w:val="24"/>
        </w:rPr>
        <w:t>Financial institutions spread loans across different industries, geographic regions, and types of borrowers. A downturn in one sector (like agriculture) does not then collapse the entire lending portfolio.</w:t>
      </w:r>
    </w:p>
    <w:p>
      <w:pPr>
        <w:spacing w:before="0" w:after="80" w:line="360" w:lineRule="auto"/>
        <w:ind w:left="504"/>
        <w:jc w:val="both"/>
      </w:pPr>
      <w:r>
        <w:rPr>
          <w:rFonts w:ascii="Times New Roman" w:hAnsi="Times New Roman"/>
          <w:b/>
          <w:i w:val="0"/>
          <w:color w:val="000000"/>
          <w:sz w:val="24"/>
        </w:rPr>
        <w:t xml:space="preserve">iii) Risk-Based Pricing:  </w:t>
      </w:r>
      <w:r>
        <w:rPr>
          <w:rFonts w:ascii="Times New Roman" w:hAnsi="Times New Roman"/>
          <w:b w:val="0"/>
          <w:i w:val="0"/>
          <w:color w:val="000000"/>
          <w:sz w:val="24"/>
        </w:rPr>
        <w:t>Institutions charge higher interest rates to riskier borrowers. This "risk premium" compensates the bank for the higher probability of default.</w:t>
      </w:r>
    </w:p>
    <w:p>
      <w:pPr>
        <w:spacing w:before="0" w:after="80" w:line="360" w:lineRule="auto"/>
        <w:ind w:left="504"/>
        <w:jc w:val="both"/>
      </w:pPr>
      <w:r>
        <w:rPr>
          <w:rFonts w:ascii="Times New Roman" w:hAnsi="Times New Roman"/>
          <w:b/>
          <w:i w:val="0"/>
          <w:color w:val="000000"/>
          <w:sz w:val="24"/>
        </w:rPr>
        <w:t xml:space="preserve">iv) Collateralization:  </w:t>
      </w:r>
      <w:r>
        <w:rPr>
          <w:rFonts w:ascii="Times New Roman" w:hAnsi="Times New Roman"/>
          <w:b w:val="0"/>
          <w:i w:val="0"/>
          <w:color w:val="000000"/>
          <w:sz w:val="24"/>
        </w:rPr>
        <w:t>Requiring borrowers to pledge assets as security reduces potential losses in the event of default.</w:t>
      </w:r>
    </w:p>
    <w:p>
      <w:pPr>
        <w:spacing w:before="200" w:after="80" w:line="360" w:lineRule="auto"/>
        <w:jc w:val="left"/>
      </w:pPr>
      <w:r>
        <w:rPr>
          <w:rFonts w:ascii="Times New Roman" w:hAnsi="Times New Roman"/>
          <w:b/>
          <w:i w:val="0"/>
          <w:color w:val="000000"/>
          <w:sz w:val="24"/>
        </w:rPr>
        <w:t>Practical Examples</w:t>
      </w:r>
    </w:p>
    <w:p>
      <w:pPr>
        <w:spacing w:before="0" w:after="80" w:line="360" w:lineRule="auto"/>
        <w:ind w:left="504"/>
        <w:jc w:val="both"/>
      </w:pPr>
      <w:r>
        <w:rPr>
          <w:rFonts w:ascii="Times New Roman" w:hAnsi="Times New Roman"/>
          <w:b/>
          <w:i w:val="0"/>
          <w:color w:val="000000"/>
          <w:sz w:val="24"/>
        </w:rPr>
        <w:t xml:space="preserve">Example 1 — Mortgage Lending (Collateralization):  </w:t>
      </w:r>
      <w:r>
        <w:rPr>
          <w:rFonts w:ascii="Times New Roman" w:hAnsi="Times New Roman"/>
          <w:b w:val="0"/>
          <w:i w:val="0"/>
          <w:color w:val="000000"/>
          <w:sz w:val="24"/>
        </w:rPr>
        <w:t>When a bank issues a home loan (mortgage), the house itself serves as collateral. If the homeowner stops making payments, the bank has the legal right to foreclose on the property. By selling the house, the bank recovers the outstanding loan amount, significantly reducing its credit risk exposure.</w:t>
      </w:r>
    </w:p>
    <w:p>
      <w:pPr>
        <w:spacing w:before="0" w:after="80" w:line="360" w:lineRule="auto"/>
        <w:ind w:left="504"/>
        <w:jc w:val="both"/>
      </w:pPr>
      <w:r>
        <w:rPr>
          <w:rFonts w:ascii="Times New Roman" w:hAnsi="Times New Roman"/>
          <w:b/>
          <w:i w:val="0"/>
          <w:color w:val="000000"/>
          <w:sz w:val="24"/>
        </w:rPr>
        <w:t xml:space="preserve">Example 2 — Small Business Loans (Diversification and Covenants):  </w:t>
      </w:r>
      <w:r>
        <w:rPr>
          <w:rFonts w:ascii="Times New Roman" w:hAnsi="Times New Roman"/>
          <w:b w:val="0"/>
          <w:i w:val="0"/>
          <w:color w:val="000000"/>
          <w:sz w:val="24"/>
        </w:rPr>
        <w:t>A commercial bank may lend to hundreds of different small businesses ranging from local restaurants to technology startups. By diversifying its portfolio, the bank ensures that if the restaurant industry struggles, the success of tech firms can offset those losses. Additionally, the bank might include a covenant requiring businesses to provide quarterly financial statements, enabling close monitoring of financial health.</w:t>
      </w:r>
    </w:p>
    <w:p>
      <w:r>
        <w:br w:type="page"/>
      </w:r>
    </w:p>
    <w:p>
      <w:pPr>
        <w:spacing w:before="280" w:after="120" w:line="360" w:lineRule="auto"/>
        <w:jc w:val="left"/>
      </w:pPr>
      <w:r>
        <w:rPr>
          <w:rFonts w:ascii="Times New Roman" w:hAnsi="Times New Roman"/>
          <w:b/>
          <w:i w:val="0"/>
          <w:color w:val="000000"/>
          <w:sz w:val="24"/>
        </w:rPr>
        <w:t>QUESTION FOUR</w:t>
      </w:r>
    </w:p>
    <w:p>
      <w:pPr>
        <w:spacing w:before="0" w:after="120" w:line="360" w:lineRule="auto"/>
        <w:jc w:val="both"/>
      </w:pPr>
      <w:r>
        <w:rPr>
          <w:rFonts w:ascii="Times New Roman" w:hAnsi="Times New Roman"/>
          <w:b w:val="0"/>
          <w:i w:val="0"/>
          <w:color w:val="000000"/>
          <w:sz w:val="24"/>
        </w:rPr>
        <w:t>Capital adequacy and deposit insurance are two critical regulatory mechanisms designed to protect the stability of financial institutions and safeguard depositors.</w:t>
      </w:r>
    </w:p>
    <w:p>
      <w:pPr>
        <w:spacing w:before="80" w:after="120" w:line="360" w:lineRule="auto"/>
        <w:jc w:val="both"/>
      </w:pPr>
      <w:r>
        <w:rPr>
          <w:rFonts w:ascii="Times New Roman" w:hAnsi="Times New Roman"/>
          <w:b/>
          <w:i/>
          <w:color w:val="000000"/>
          <w:sz w:val="24"/>
        </w:rPr>
        <w:t>a) Explain the concept of capital adequacy ratios and discuss why regulatory authorities impose minimum capital requirements on financial institutions. (5 Marks)</w:t>
      </w:r>
    </w:p>
    <w:p>
      <w:pPr>
        <w:spacing w:before="0" w:after="120" w:line="360" w:lineRule="auto"/>
        <w:jc w:val="both"/>
      </w:pPr>
      <w:r>
        <w:rPr>
          <w:rFonts w:ascii="Times New Roman" w:hAnsi="Times New Roman"/>
          <w:b w:val="0"/>
          <w:i w:val="0"/>
          <w:color w:val="000000"/>
          <w:sz w:val="24"/>
        </w:rPr>
        <w:t>The Capital Adequacy Ratio (CAR), also known as the Capital-to-Risk Weighted Assets Ratio (CRAR), is a measurement of a bank's available capital expressed as a percentage of its risk-weighted credit exposure. It is used to protect depositors and promote the stability and efficiency of financial systems around the world.</w:t>
      </w:r>
    </w:p>
    <w:p>
      <w:pPr>
        <w:spacing w:before="0" w:after="120" w:line="360" w:lineRule="auto"/>
        <w:jc w:val="both"/>
      </w:pPr>
      <w:r>
        <w:rPr>
          <w:rFonts w:ascii="Times New Roman" w:hAnsi="Times New Roman"/>
          <w:b w:val="0"/>
          <w:i w:val="0"/>
          <w:color w:val="000000"/>
          <w:sz w:val="24"/>
        </w:rPr>
        <w:t>The Basel III framework, for instance, requires banks to maintain a minimum CAR of 8%, with Tier 1 capital (core capital such as equity and retained earnings) forming the most critical component. In Kenya, the Central Bank of Kenya mandates a minimum CAR of 14.5% for commercial banks.</w:t>
      </w:r>
    </w:p>
    <w:p>
      <w:pPr>
        <w:spacing w:before="200" w:after="80" w:line="360" w:lineRule="auto"/>
        <w:jc w:val="left"/>
      </w:pPr>
      <w:r>
        <w:rPr>
          <w:rFonts w:ascii="Times New Roman" w:hAnsi="Times New Roman"/>
          <w:b/>
          <w:i w:val="0"/>
          <w:color w:val="000000"/>
          <w:sz w:val="24"/>
        </w:rPr>
        <w:t>Reasons Why Regulatory Authorities Impose Minimum Capital Requirements</w:t>
      </w:r>
    </w:p>
    <w:p>
      <w:pPr>
        <w:spacing w:before="0" w:after="80" w:line="360" w:lineRule="auto"/>
        <w:ind w:left="504"/>
        <w:jc w:val="both"/>
      </w:pPr>
      <w:r>
        <w:rPr>
          <w:rFonts w:ascii="Times New Roman" w:hAnsi="Times New Roman"/>
          <w:b/>
          <w:i w:val="0"/>
          <w:color w:val="000000"/>
          <w:sz w:val="24"/>
        </w:rPr>
        <w:t xml:space="preserve">i) Protection of Depositors:  </w:t>
      </w:r>
      <w:r>
        <w:rPr>
          <w:rFonts w:ascii="Times New Roman" w:hAnsi="Times New Roman"/>
          <w:b w:val="0"/>
          <w:i w:val="0"/>
          <w:color w:val="000000"/>
          <w:sz w:val="24"/>
        </w:rPr>
        <w:t>By ensuring a bank has enough of its own "skin in the game," regulators protect depositors' money. If a bank fails, its capital is used to absorb losses and pay off liabilities before depositors lose their savings.</w:t>
      </w:r>
    </w:p>
    <w:p>
      <w:pPr>
        <w:spacing w:before="0" w:after="80" w:line="360" w:lineRule="auto"/>
        <w:ind w:left="504"/>
        <w:jc w:val="both"/>
      </w:pPr>
      <w:r>
        <w:rPr>
          <w:rFonts w:ascii="Times New Roman" w:hAnsi="Times New Roman"/>
          <w:b/>
          <w:i w:val="0"/>
          <w:color w:val="000000"/>
          <w:sz w:val="24"/>
        </w:rPr>
        <w:t xml:space="preserve">ii) Restricting Excessive Risk-Taking:  </w:t>
      </w:r>
      <w:r>
        <w:rPr>
          <w:rFonts w:ascii="Times New Roman" w:hAnsi="Times New Roman"/>
          <w:b w:val="0"/>
          <w:i w:val="0"/>
          <w:color w:val="000000"/>
          <w:sz w:val="24"/>
        </w:rPr>
        <w:t>When banks are required to hold more capital against riskier assets, it creates a financial disincentive for them to take on excessive high-risk debt, encouraging more prudent lending and investment practices.</w:t>
      </w:r>
    </w:p>
    <w:p>
      <w:pPr>
        <w:spacing w:before="0" w:after="80" w:line="360" w:lineRule="auto"/>
        <w:ind w:left="504"/>
        <w:jc w:val="both"/>
      </w:pPr>
      <w:r>
        <w:rPr>
          <w:rFonts w:ascii="Times New Roman" w:hAnsi="Times New Roman"/>
          <w:b/>
          <w:i w:val="0"/>
          <w:color w:val="000000"/>
          <w:sz w:val="24"/>
        </w:rPr>
        <w:t xml:space="preserve">iii) Promoting Financial Stability (Systemic Risk Mitigation):  </w:t>
      </w:r>
      <w:r>
        <w:rPr>
          <w:rFonts w:ascii="Times New Roman" w:hAnsi="Times New Roman"/>
          <w:b w:val="0"/>
          <w:i w:val="0"/>
          <w:color w:val="000000"/>
          <w:sz w:val="24"/>
        </w:rPr>
        <w:t>The failure of one large bank can trigger a "domino effect" across the entire economy. Minimum capital requirements reduce the likelihood of individual bank failures, thereby protecting the broader financial system.</w:t>
      </w:r>
    </w:p>
    <w:p>
      <w:pPr>
        <w:spacing w:before="0" w:after="80" w:line="360" w:lineRule="auto"/>
        <w:ind w:left="504"/>
        <w:jc w:val="both"/>
      </w:pPr>
      <w:r>
        <w:rPr>
          <w:rFonts w:ascii="Times New Roman" w:hAnsi="Times New Roman"/>
          <w:b/>
          <w:i w:val="0"/>
          <w:color w:val="000000"/>
          <w:sz w:val="24"/>
        </w:rPr>
        <w:t xml:space="preserve">iv) Maintaining Public Confidence:  </w:t>
      </w:r>
      <w:r>
        <w:rPr>
          <w:rFonts w:ascii="Times New Roman" w:hAnsi="Times New Roman"/>
          <w:b w:val="0"/>
          <w:i w:val="0"/>
          <w:color w:val="000000"/>
          <w:sz w:val="24"/>
        </w:rPr>
        <w:t>The banking system relies fundamentally on trust. Knowing that banks are required to maintain a certain level of financial strength prevents bank runs — where many customers simultaneously withdraw funds out of fear of insolvency.</w:t>
      </w:r>
    </w:p>
    <w:p>
      <w:pPr>
        <w:spacing w:before="240" w:after="120" w:line="360" w:lineRule="auto"/>
        <w:jc w:val="both"/>
      </w:pPr>
      <w:r>
        <w:rPr>
          <w:rFonts w:ascii="Times New Roman" w:hAnsi="Times New Roman"/>
          <w:b/>
          <w:i/>
          <w:color w:val="000000"/>
          <w:sz w:val="24"/>
        </w:rPr>
        <w:t>b) Discuss the role of deposit insurance as a liability guarantee mechanism, and explain how it protects depositors while also creating moral hazard issues that regulators must address. (5 Marks)</w:t>
      </w:r>
    </w:p>
    <w:p>
      <w:pPr>
        <w:spacing w:before="0" w:after="120" w:line="360" w:lineRule="auto"/>
        <w:jc w:val="both"/>
      </w:pPr>
      <w:r>
        <w:rPr>
          <w:rFonts w:ascii="Times New Roman" w:hAnsi="Times New Roman"/>
          <w:b w:val="0"/>
          <w:i w:val="0"/>
          <w:color w:val="000000"/>
          <w:sz w:val="24"/>
        </w:rPr>
        <w:t>Deposit insurance is a protective measure implemented in many countries to safeguard bank depositors, in full or in part, from losses caused by a bank's inability to pay its debts when due. It acts as a "safety net" for the banking system, underpinning public confidence in financial institutions.</w:t>
      </w:r>
    </w:p>
    <w:p>
      <w:pPr>
        <w:spacing w:before="200" w:after="80" w:line="360" w:lineRule="auto"/>
        <w:jc w:val="left"/>
      </w:pPr>
      <w:r>
        <w:rPr>
          <w:rFonts w:ascii="Times New Roman" w:hAnsi="Times New Roman"/>
          <w:b/>
          <w:i w:val="0"/>
          <w:color w:val="000000"/>
          <w:sz w:val="24"/>
        </w:rPr>
        <w:t>Role as a Liability Guarantee Mechanism</w:t>
      </w:r>
    </w:p>
    <w:p>
      <w:pPr>
        <w:spacing w:before="0" w:after="80" w:line="360" w:lineRule="auto"/>
        <w:ind w:left="504"/>
        <w:jc w:val="both"/>
      </w:pPr>
      <w:r>
        <w:rPr>
          <w:rFonts w:ascii="Times New Roman" w:hAnsi="Times New Roman"/>
          <w:b/>
          <w:i w:val="0"/>
          <w:color w:val="000000"/>
          <w:sz w:val="24"/>
        </w:rPr>
        <w:t xml:space="preserve">Systemic Protection:  </w:t>
      </w:r>
      <w:r>
        <w:rPr>
          <w:rFonts w:ascii="Times New Roman" w:hAnsi="Times New Roman"/>
          <w:b w:val="0"/>
          <w:i w:val="0"/>
          <w:color w:val="000000"/>
          <w:sz w:val="24"/>
        </w:rPr>
        <w:t>Deposit insurance prevents a localized bank failure from spiraling into a systemic financial crisis by maintaining public trust in the banking sector as a whole.</w:t>
      </w:r>
    </w:p>
    <w:p>
      <w:pPr>
        <w:spacing w:before="0" w:after="80" w:line="360" w:lineRule="auto"/>
        <w:ind w:left="504"/>
        <w:jc w:val="both"/>
      </w:pPr>
      <w:r>
        <w:rPr>
          <w:rFonts w:ascii="Times New Roman" w:hAnsi="Times New Roman"/>
          <w:b/>
          <w:i w:val="0"/>
          <w:color w:val="000000"/>
          <w:sz w:val="24"/>
        </w:rPr>
        <w:t xml:space="preserve">Confidence and Stability:  </w:t>
      </w:r>
      <w:r>
        <w:rPr>
          <w:rFonts w:ascii="Times New Roman" w:hAnsi="Times New Roman"/>
          <w:b w:val="0"/>
          <w:i w:val="0"/>
          <w:color w:val="000000"/>
          <w:sz w:val="24"/>
        </w:rPr>
        <w:t>By guaranteeing that deposits are safe up to a prescribed limit, deposit insurance prevents bank runs where many customers withdraw funds simultaneously due to fear of bank insolvency.</w:t>
      </w:r>
    </w:p>
    <w:p>
      <w:pPr>
        <w:spacing w:before="200" w:after="80" w:line="360" w:lineRule="auto"/>
        <w:jc w:val="left"/>
      </w:pPr>
      <w:r>
        <w:rPr>
          <w:rFonts w:ascii="Times New Roman" w:hAnsi="Times New Roman"/>
          <w:b/>
          <w:i w:val="0"/>
          <w:color w:val="000000"/>
          <w:sz w:val="24"/>
        </w:rPr>
        <w:t>How Deposit Insurance Protects Depositors</w:t>
      </w:r>
    </w:p>
    <w:p>
      <w:pPr>
        <w:spacing w:before="0" w:after="80" w:line="360" w:lineRule="auto"/>
        <w:ind w:left="504"/>
        <w:jc w:val="both"/>
      </w:pPr>
      <w:r>
        <w:rPr>
          <w:rFonts w:ascii="Times New Roman" w:hAnsi="Times New Roman"/>
          <w:b/>
          <w:i w:val="0"/>
          <w:color w:val="000000"/>
          <w:sz w:val="24"/>
        </w:rPr>
        <w:t xml:space="preserve">Direct Reimbursement:  </w:t>
      </w:r>
      <w:r>
        <w:rPr>
          <w:rFonts w:ascii="Times New Roman" w:hAnsi="Times New Roman"/>
          <w:b w:val="0"/>
          <w:i w:val="0"/>
          <w:color w:val="000000"/>
          <w:sz w:val="24"/>
        </w:rPr>
        <w:t>If a bank fails, the deposit insurance agency — for example, the FDIC in the United States or the Kenya Deposit Insurance Corporation (KDIC) in Kenya — pays out the insured amount directly to depositors.</w:t>
      </w:r>
    </w:p>
    <w:p>
      <w:pPr>
        <w:spacing w:before="0" w:after="80" w:line="360" w:lineRule="auto"/>
        <w:ind w:left="504"/>
        <w:jc w:val="both"/>
      </w:pPr>
      <w:r>
        <w:rPr>
          <w:rFonts w:ascii="Times New Roman" w:hAnsi="Times New Roman"/>
          <w:b/>
          <w:i w:val="0"/>
          <w:color w:val="000000"/>
          <w:sz w:val="24"/>
        </w:rPr>
        <w:t xml:space="preserve">Peace of Mind:  </w:t>
      </w:r>
      <w:r>
        <w:rPr>
          <w:rFonts w:ascii="Times New Roman" w:hAnsi="Times New Roman"/>
          <w:b w:val="0"/>
          <w:i w:val="0"/>
          <w:color w:val="000000"/>
          <w:sz w:val="24"/>
        </w:rPr>
        <w:t>Small, unsophisticated depositors are not required to constantly monitor the bank's financial health, as their funds are guaranteed up to a certain limit. In Kenya, the KDIC currently protects deposits up to Ksh 500,000 per depositor per institution.</w:t>
      </w:r>
    </w:p>
    <w:p>
      <w:pPr>
        <w:spacing w:before="200" w:after="80" w:line="360" w:lineRule="auto"/>
        <w:jc w:val="left"/>
      </w:pPr>
      <w:r>
        <w:rPr>
          <w:rFonts w:ascii="Times New Roman" w:hAnsi="Times New Roman"/>
          <w:b/>
          <w:i w:val="0"/>
          <w:color w:val="000000"/>
          <w:sz w:val="24"/>
        </w:rPr>
        <w:t>Moral Hazard: The Key Challenge</w:t>
      </w:r>
    </w:p>
    <w:p>
      <w:pPr>
        <w:spacing w:before="0" w:after="120" w:line="360" w:lineRule="auto"/>
        <w:jc w:val="both"/>
      </w:pPr>
      <w:r>
        <w:rPr>
          <w:rFonts w:ascii="Times New Roman" w:hAnsi="Times New Roman"/>
          <w:b w:val="0"/>
          <w:i w:val="0"/>
          <w:color w:val="000000"/>
          <w:sz w:val="24"/>
        </w:rPr>
        <w:t>While beneficial, deposit insurance creates a moral hazard problem — a situation where parties take on more risk because they do not bear the full consequences of that risk:</w:t>
      </w:r>
    </w:p>
    <w:p>
      <w:pPr>
        <w:spacing w:before="0" w:after="80" w:line="360" w:lineRule="auto"/>
        <w:ind w:left="504"/>
        <w:jc w:val="both"/>
      </w:pPr>
      <w:r>
        <w:rPr>
          <w:rFonts w:ascii="Times New Roman" w:hAnsi="Times New Roman"/>
          <w:b/>
          <w:i w:val="0"/>
          <w:color w:val="000000"/>
          <w:sz w:val="24"/>
        </w:rPr>
        <w:t xml:space="preserve">For Banks:  </w:t>
      </w:r>
      <w:r>
        <w:rPr>
          <w:rFonts w:ascii="Times New Roman" w:hAnsi="Times New Roman"/>
          <w:b w:val="0"/>
          <w:i w:val="0"/>
          <w:color w:val="000000"/>
          <w:sz w:val="24"/>
        </w:rPr>
        <w:t>Because depositors are protected and therefore less likely to withdraw funds in response to risky bank behaviour, bank management may be tempted to engage in higher-risk lending or investment strategies to seek higher profits, knowing the "safety net" exists if they fail.</w:t>
      </w:r>
    </w:p>
    <w:p>
      <w:pPr>
        <w:spacing w:before="0" w:after="80" w:line="360" w:lineRule="auto"/>
        <w:ind w:left="504"/>
        <w:jc w:val="both"/>
      </w:pPr>
      <w:r>
        <w:rPr>
          <w:rFonts w:ascii="Times New Roman" w:hAnsi="Times New Roman"/>
          <w:b/>
          <w:i w:val="0"/>
          <w:color w:val="000000"/>
          <w:sz w:val="24"/>
        </w:rPr>
        <w:t xml:space="preserve">For Depositors:  </w:t>
      </w:r>
      <w:r>
        <w:rPr>
          <w:rFonts w:ascii="Times New Roman" w:hAnsi="Times New Roman"/>
          <w:b w:val="0"/>
          <w:i w:val="0"/>
          <w:color w:val="000000"/>
          <w:sz w:val="24"/>
        </w:rPr>
        <w:t>Insured depositors have little incentive to monitor or discipline bank behaviour, removing a key check on excessive risk-taking.</w:t>
      </w:r>
    </w:p>
    <w:p>
      <w:pPr>
        <w:spacing w:before="200" w:after="80" w:line="360" w:lineRule="auto"/>
        <w:jc w:val="left"/>
      </w:pPr>
      <w:r>
        <w:rPr>
          <w:rFonts w:ascii="Times New Roman" w:hAnsi="Times New Roman"/>
          <w:b/>
          <w:i w:val="0"/>
          <w:color w:val="000000"/>
          <w:sz w:val="24"/>
        </w:rPr>
        <w:t>Regulatory Responses to Moral Hazard</w:t>
      </w:r>
    </w:p>
    <w:p>
      <w:pPr>
        <w:spacing w:before="0" w:after="120" w:line="360" w:lineRule="auto"/>
        <w:jc w:val="both"/>
      </w:pPr>
      <w:r>
        <w:rPr>
          <w:rFonts w:ascii="Times New Roman" w:hAnsi="Times New Roman"/>
          <w:b w:val="0"/>
          <w:i w:val="0"/>
          <w:color w:val="000000"/>
          <w:sz w:val="24"/>
        </w:rPr>
        <w:t>To counter the moral hazard created by deposit insurance, regulators implement the following strategies:</w:t>
      </w:r>
    </w:p>
    <w:p>
      <w:pPr>
        <w:spacing w:before="0" w:after="80" w:line="360" w:lineRule="auto"/>
        <w:ind w:left="504"/>
        <w:jc w:val="both"/>
      </w:pPr>
      <w:r>
        <w:rPr>
          <w:rFonts w:ascii="Times New Roman" w:hAnsi="Times New Roman"/>
          <w:b/>
          <w:i w:val="0"/>
          <w:color w:val="000000"/>
          <w:sz w:val="24"/>
        </w:rPr>
        <w:t xml:space="preserve">•  </w:t>
      </w:r>
      <w:r>
        <w:rPr>
          <w:rFonts w:ascii="Times New Roman" w:hAnsi="Times New Roman"/>
          <w:b w:val="0"/>
          <w:i w:val="0"/>
          <w:color w:val="000000"/>
          <w:sz w:val="24"/>
        </w:rPr>
        <w:t>Prudential Supervision — Regular audits and examinations of banks by regulators to detect and address excessive risk-taking.</w:t>
      </w:r>
    </w:p>
    <w:p>
      <w:pPr>
        <w:spacing w:before="0" w:after="80" w:line="360" w:lineRule="auto"/>
        <w:ind w:left="504"/>
        <w:jc w:val="both"/>
      </w:pPr>
      <w:r>
        <w:rPr>
          <w:rFonts w:ascii="Times New Roman" w:hAnsi="Times New Roman"/>
          <w:b/>
          <w:i w:val="0"/>
          <w:color w:val="000000"/>
          <w:sz w:val="24"/>
        </w:rPr>
        <w:t xml:space="preserve">•  </w:t>
      </w:r>
      <w:r>
        <w:rPr>
          <w:rFonts w:ascii="Times New Roman" w:hAnsi="Times New Roman"/>
          <w:b w:val="0"/>
          <w:i w:val="0"/>
          <w:color w:val="000000"/>
          <w:sz w:val="24"/>
        </w:rPr>
        <w:t>Risk-Based Premiums — Banks that take on more risk pay higher deposit insurance premiums, aligning the cost of insurance with actual risk levels.</w:t>
      </w:r>
    </w:p>
    <w:p>
      <w:pPr>
        <w:spacing w:before="0" w:after="80" w:line="360" w:lineRule="auto"/>
        <w:ind w:left="504"/>
        <w:jc w:val="both"/>
      </w:pPr>
      <w:r>
        <w:rPr>
          <w:rFonts w:ascii="Times New Roman" w:hAnsi="Times New Roman"/>
          <w:b/>
          <w:i w:val="0"/>
          <w:color w:val="000000"/>
          <w:sz w:val="24"/>
        </w:rPr>
        <w:t xml:space="preserve">•  </w:t>
      </w:r>
      <w:r>
        <w:rPr>
          <w:rFonts w:ascii="Times New Roman" w:hAnsi="Times New Roman"/>
          <w:b w:val="0"/>
          <w:i w:val="0"/>
          <w:color w:val="000000"/>
          <w:sz w:val="24"/>
        </w:rPr>
        <w:t>Coverage Limits — Restricting the guarantee to a maximum amount (e.g., Ksh 500,000 in Kenya) preserves some depositor incentive to monitor bank health for amounts above the limit.</w:t>
      </w:r>
    </w:p>
    <w:p>
      <w:pPr>
        <w:spacing w:before="0" w:after="80" w:line="360" w:lineRule="auto"/>
        <w:ind w:left="504"/>
        <w:jc w:val="both"/>
      </w:pPr>
      <w:r>
        <w:rPr>
          <w:rFonts w:ascii="Times New Roman" w:hAnsi="Times New Roman"/>
          <w:b/>
          <w:i w:val="0"/>
          <w:color w:val="000000"/>
          <w:sz w:val="24"/>
        </w:rPr>
        <w:t xml:space="preserve">•  </w:t>
      </w:r>
      <w:r>
        <w:rPr>
          <w:rFonts w:ascii="Times New Roman" w:hAnsi="Times New Roman"/>
          <w:b w:val="0"/>
          <w:i w:val="0"/>
          <w:color w:val="000000"/>
          <w:sz w:val="24"/>
        </w:rPr>
        <w:t>Capital Requirements — Mandatory capital ratios (such as CAR) ensure banks maintain their own buffer against losses, reducing reliance on the insurance fund.</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