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line="240" w:lineRule="auto"/>
        <w:jc w:val="center"/>
      </w:pPr>
      <w:r>
        <w:drawing>
          <wp:inline xmlns:a="http://schemas.openxmlformats.org/drawingml/2006/main" xmlns:pic="http://schemas.openxmlformats.org/drawingml/2006/picture">
            <wp:extent cx="1280160" cy="1247195"/>
            <wp:docPr id="1" name="Picture 1"/>
            <wp:cNvGraphicFramePr>
              <a:graphicFrameLocks noChangeAspect="1"/>
            </wp:cNvGraphicFramePr>
            <a:graphic>
              <a:graphicData uri="http://schemas.openxmlformats.org/drawingml/2006/picture">
                <pic:pic>
                  <pic:nvPicPr>
                    <pic:cNvPr id="0" name="moi_uni_logo.png"/>
                    <pic:cNvPicPr/>
                  </pic:nvPicPr>
                  <pic:blipFill>
                    <a:blip r:embed="rId9"/>
                    <a:stretch>
                      <a:fillRect/>
                    </a:stretch>
                  </pic:blipFill>
                  <pic:spPr>
                    <a:xfrm>
                      <a:off x="0" y="0"/>
                      <a:ext cx="1280160" cy="1247195"/>
                    </a:xfrm>
                    <a:prstGeom prst="rect"/>
                  </pic:spPr>
                </pic:pic>
              </a:graphicData>
            </a:graphic>
          </wp:inline>
        </w:drawing>
      </w:r>
    </w:p>
    <w:p>
      <w:pPr>
        <w:spacing w:before="0" w:after="80" w:line="240" w:lineRule="auto"/>
        <w:jc w:val="center"/>
      </w:pPr>
      <w:r>
        <w:rPr>
          <w:rFonts w:ascii="Times New Roman" w:hAnsi="Times New Roman"/>
          <w:b/>
          <w:i w:val="0"/>
          <w:color w:val="000000"/>
          <w:sz w:val="32"/>
        </w:rPr>
        <w:t>MOI UNIVERSITY</w:t>
      </w:r>
    </w:p>
    <w:p>
      <w:pPr>
        <w:spacing w:before="0" w:after="80" w:line="240" w:lineRule="auto"/>
        <w:jc w:val="center"/>
      </w:pPr>
      <w:r>
        <w:rPr>
          <w:rFonts w:ascii="Times New Roman" w:hAnsi="Times New Roman"/>
          <w:b/>
          <w:i w:val="0"/>
          <w:color w:val="000000"/>
          <w:sz w:val="28"/>
        </w:rPr>
        <w:t>ANNEX CAMPUS</w:t>
      </w:r>
    </w:p>
    <w:p>
      <w:pPr>
        <w:spacing w:before="0" w:after="80" w:line="240" w:lineRule="auto"/>
        <w:jc w:val="center"/>
      </w:pPr>
      <w:r>
        <w:rPr>
          <w:rFonts w:ascii="Times New Roman" w:hAnsi="Times New Roman"/>
          <w:b/>
          <w:i w:val="0"/>
          <w:color w:val="000000"/>
          <w:sz w:val="26"/>
        </w:rPr>
        <w:t>SCHOOL OF BUSINESS &amp; ECONOMICS</w:t>
      </w:r>
    </w:p>
    <w:p>
      <w:pPr>
        <w:spacing w:before="0" w:after="360" w:line="240" w:lineRule="auto"/>
        <w:jc w:val="center"/>
      </w:pPr>
      <w:r>
        <w:rPr>
          <w:rFonts w:ascii="Times New Roman" w:hAnsi="Times New Roman"/>
          <w:b/>
          <w:i w:val="0"/>
          <w:color w:val="000000"/>
          <w:sz w:val="24"/>
        </w:rPr>
        <w:t>DEPARTMENT OF MANAGEMENT SCIENCE &amp; ENTREPRENEURSHIP</w:t>
      </w:r>
    </w:p>
    <w:tbl>
      <w:tblPr>
        <w:tblW w:type="auto" w:w="0"/>
        <w:tblLayout w:type="fixed"/>
        <w:tblLook w:firstColumn="1" w:firstRow="1" w:lastColumn="0" w:lastRow="0" w:noHBand="0" w:noVBand="1" w:val="04A0"/>
        <w:tblW w:w="9000" w:type="dxa"/>
        <w:tblLayout w:type="fixed"/>
        <w:tblCellMar>
          <w:top w:w="20" w:type="dxa"/>
          <w:left w:w="20" w:type="dxa"/>
          <w:bottom w:w="20" w:type="dxa"/>
          <w:right w:w="20" w:type="dxa"/>
        </w:tblCellMar>
      </w:tblPr>
      <w:tblGrid>
        <w:gridCol w:w="2808"/>
        <w:gridCol w:w="240"/>
        <w:gridCol w:w="5952"/>
      </w:tblGrid>
      <w:tr>
        <w:tc>
          <w:tcPr>
            <w:tcW w:type="dxa" w:w="2808"/>
            <w:vAlign w:val="top"/>
          </w:tcPr>
          <w:p>
            <w:pPr>
              <w:spacing w:before="0" w:after="80" w:line="240" w:lineRule="auto"/>
            </w:pPr>
            <w:r>
              <w:rPr>
                <w:rFonts w:ascii="Times New Roman" w:hAnsi="Times New Roman"/>
                <w:b/>
                <w:i w:val="0"/>
                <w:color w:val="000000"/>
                <w:sz w:val="24"/>
              </w:rPr>
              <w:t>PROGRAMME</w:t>
            </w:r>
          </w:p>
        </w:tc>
        <w:tc>
          <w:tcPr>
            <w:tcW w:type="dxa" w:w="240"/>
            <w:vAlign w:val="top"/>
          </w:tcPr>
          <w:p>
            <w:pPr>
              <w:spacing w:before="0" w:after="80" w:line="240" w:lineRule="auto"/>
            </w:pPr>
            <w:r>
              <w:rPr>
                <w:rFonts w:ascii="Times New Roman" w:hAnsi="Times New Roman"/>
                <w:b/>
                <w:i w:val="0"/>
                <w:color w:val="000000"/>
                <w:sz w:val="24"/>
              </w:rPr>
              <w:t>:</w:t>
            </w:r>
          </w:p>
        </w:tc>
        <w:tc>
          <w:tcPr>
            <w:tcW w:type="dxa" w:w="5952"/>
            <w:vAlign w:val="top"/>
          </w:tcPr>
          <w:p>
            <w:pPr>
              <w:spacing w:before="0" w:after="80" w:line="240" w:lineRule="auto"/>
            </w:pPr>
            <w:r>
              <w:rPr>
                <w:rFonts w:ascii="Times New Roman" w:hAnsi="Times New Roman"/>
                <w:b w:val="0"/>
                <w:i w:val="0"/>
                <w:color w:val="000000"/>
                <w:sz w:val="24"/>
              </w:rPr>
              <w:t>BACHELOR OF BUSINESS MANAGEMENT</w:t>
            </w:r>
          </w:p>
        </w:tc>
      </w:tr>
      <w:tr>
        <w:tc>
          <w:tcPr>
            <w:tcW w:type="dxa" w:w="2808"/>
            <w:vAlign w:val="top"/>
          </w:tcPr>
          <w:p>
            <w:pPr>
              <w:spacing w:before="0" w:after="80" w:line="240" w:lineRule="auto"/>
            </w:pPr>
            <w:r>
              <w:rPr>
                <w:rFonts w:ascii="Times New Roman" w:hAnsi="Times New Roman"/>
                <w:b/>
                <w:i w:val="0"/>
                <w:color w:val="000000"/>
                <w:sz w:val="24"/>
              </w:rPr>
              <w:t>ACADEMIC YEAR</w:t>
            </w:r>
          </w:p>
        </w:tc>
        <w:tc>
          <w:tcPr>
            <w:tcW w:type="dxa" w:w="240"/>
            <w:vAlign w:val="top"/>
          </w:tcPr>
          <w:p>
            <w:pPr>
              <w:spacing w:before="0" w:after="80" w:line="240" w:lineRule="auto"/>
            </w:pPr>
            <w:r>
              <w:rPr>
                <w:rFonts w:ascii="Times New Roman" w:hAnsi="Times New Roman"/>
                <w:b/>
                <w:i w:val="0"/>
                <w:color w:val="000000"/>
                <w:sz w:val="24"/>
              </w:rPr>
              <w:t>:</w:t>
            </w:r>
          </w:p>
        </w:tc>
        <w:tc>
          <w:tcPr>
            <w:tcW w:type="dxa" w:w="5952"/>
            <w:vAlign w:val="top"/>
          </w:tcPr>
          <w:p>
            <w:pPr>
              <w:spacing w:before="0" w:after="80" w:line="240" w:lineRule="auto"/>
            </w:pPr>
            <w:r>
              <w:rPr>
                <w:rFonts w:ascii="Times New Roman" w:hAnsi="Times New Roman"/>
                <w:b w:val="0"/>
                <w:i w:val="0"/>
                <w:color w:val="000000"/>
                <w:sz w:val="24"/>
              </w:rPr>
              <w:t>YEAR 4</w:t>
            </w:r>
          </w:p>
        </w:tc>
      </w:tr>
      <w:tr>
        <w:tc>
          <w:tcPr>
            <w:tcW w:type="dxa" w:w="2808"/>
            <w:vAlign w:val="top"/>
          </w:tcPr>
          <w:p>
            <w:pPr>
              <w:spacing w:before="0" w:after="80" w:line="240" w:lineRule="auto"/>
            </w:pPr>
            <w:r>
              <w:rPr>
                <w:rFonts w:ascii="Times New Roman" w:hAnsi="Times New Roman"/>
                <w:b/>
                <w:i w:val="0"/>
                <w:color w:val="000000"/>
                <w:sz w:val="24"/>
              </w:rPr>
              <w:t>COURSE CODE</w:t>
            </w:r>
          </w:p>
        </w:tc>
        <w:tc>
          <w:tcPr>
            <w:tcW w:type="dxa" w:w="240"/>
            <w:vAlign w:val="top"/>
          </w:tcPr>
          <w:p>
            <w:pPr>
              <w:spacing w:before="0" w:after="80" w:line="240" w:lineRule="auto"/>
            </w:pPr>
            <w:r>
              <w:rPr>
                <w:rFonts w:ascii="Times New Roman" w:hAnsi="Times New Roman"/>
                <w:b/>
                <w:i w:val="0"/>
                <w:color w:val="000000"/>
                <w:sz w:val="24"/>
              </w:rPr>
              <w:t>:</w:t>
            </w:r>
          </w:p>
        </w:tc>
        <w:tc>
          <w:tcPr>
            <w:tcW w:type="dxa" w:w="5952"/>
            <w:vAlign w:val="top"/>
          </w:tcPr>
          <w:p>
            <w:pPr>
              <w:spacing w:before="0" w:after="80" w:line="240" w:lineRule="auto"/>
            </w:pPr>
            <w:r>
              <w:rPr>
                <w:rFonts w:ascii="Times New Roman" w:hAnsi="Times New Roman"/>
                <w:b w:val="0"/>
                <w:i w:val="0"/>
                <w:color w:val="000000"/>
                <w:sz w:val="24"/>
              </w:rPr>
              <w:t>BBM 433</w:t>
            </w:r>
          </w:p>
        </w:tc>
      </w:tr>
      <w:tr>
        <w:tc>
          <w:tcPr>
            <w:tcW w:type="dxa" w:w="2808"/>
            <w:vAlign w:val="top"/>
          </w:tcPr>
          <w:p>
            <w:pPr>
              <w:spacing w:before="0" w:after="80" w:line="240" w:lineRule="auto"/>
            </w:pPr>
            <w:r>
              <w:rPr>
                <w:rFonts w:ascii="Times New Roman" w:hAnsi="Times New Roman"/>
                <w:b/>
                <w:i w:val="0"/>
                <w:color w:val="000000"/>
                <w:sz w:val="24"/>
              </w:rPr>
              <w:t>COURSE TITLE</w:t>
            </w:r>
          </w:p>
        </w:tc>
        <w:tc>
          <w:tcPr>
            <w:tcW w:type="dxa" w:w="240"/>
            <w:vAlign w:val="top"/>
          </w:tcPr>
          <w:p>
            <w:pPr>
              <w:spacing w:before="0" w:after="80" w:line="240" w:lineRule="auto"/>
            </w:pPr>
            <w:r>
              <w:rPr>
                <w:rFonts w:ascii="Times New Roman" w:hAnsi="Times New Roman"/>
                <w:b/>
                <w:i w:val="0"/>
                <w:color w:val="000000"/>
                <w:sz w:val="24"/>
              </w:rPr>
              <w:t>:</w:t>
            </w:r>
          </w:p>
        </w:tc>
        <w:tc>
          <w:tcPr>
            <w:tcW w:type="dxa" w:w="5952"/>
            <w:vAlign w:val="top"/>
          </w:tcPr>
          <w:p>
            <w:pPr>
              <w:spacing w:before="0" w:after="80" w:line="240" w:lineRule="auto"/>
            </w:pPr>
            <w:r>
              <w:rPr>
                <w:rFonts w:ascii="Times New Roman" w:hAnsi="Times New Roman"/>
                <w:b w:val="0"/>
                <w:i w:val="0"/>
                <w:color w:val="000000"/>
                <w:sz w:val="24"/>
              </w:rPr>
              <w:t>RETAIL AND MERCHANDISE MANAGEMENT</w:t>
            </w:r>
          </w:p>
        </w:tc>
      </w:tr>
      <w:tr>
        <w:tc>
          <w:tcPr>
            <w:tcW w:type="dxa" w:w="2808"/>
            <w:vAlign w:val="top"/>
          </w:tcPr>
          <w:p>
            <w:pPr>
              <w:spacing w:before="0" w:after="80" w:line="240" w:lineRule="auto"/>
            </w:pPr>
            <w:r>
              <w:rPr>
                <w:rFonts w:ascii="Times New Roman" w:hAnsi="Times New Roman"/>
                <w:b/>
                <w:i w:val="0"/>
                <w:color w:val="000000"/>
                <w:sz w:val="24"/>
              </w:rPr>
              <w:t>SEMESTER</w:t>
            </w:r>
          </w:p>
        </w:tc>
        <w:tc>
          <w:tcPr>
            <w:tcW w:type="dxa" w:w="240"/>
            <w:vAlign w:val="top"/>
          </w:tcPr>
          <w:p>
            <w:pPr>
              <w:spacing w:before="0" w:after="80" w:line="240" w:lineRule="auto"/>
            </w:pPr>
            <w:r>
              <w:rPr>
                <w:rFonts w:ascii="Times New Roman" w:hAnsi="Times New Roman"/>
                <w:b/>
                <w:i w:val="0"/>
                <w:color w:val="000000"/>
                <w:sz w:val="24"/>
              </w:rPr>
              <w:t>:</w:t>
            </w:r>
          </w:p>
        </w:tc>
        <w:tc>
          <w:tcPr>
            <w:tcW w:type="dxa" w:w="5952"/>
            <w:vAlign w:val="top"/>
          </w:tcPr>
          <w:p>
            <w:pPr>
              <w:spacing w:before="0" w:after="80" w:line="240" w:lineRule="auto"/>
            </w:pPr>
            <w:r>
              <w:rPr>
                <w:rFonts w:ascii="Times New Roman" w:hAnsi="Times New Roman"/>
                <w:b w:val="0"/>
                <w:i w:val="0"/>
                <w:color w:val="000000"/>
                <w:sz w:val="24"/>
              </w:rPr>
              <w:t>2025/26: SEM II</w:t>
            </w:r>
          </w:p>
        </w:tc>
      </w:tr>
      <w:tr>
        <w:tc>
          <w:tcPr>
            <w:tcW w:type="dxa" w:w="2808"/>
            <w:vAlign w:val="top"/>
          </w:tcPr>
          <w:p>
            <w:pPr>
              <w:spacing w:before="0" w:after="80" w:line="240" w:lineRule="auto"/>
            </w:pPr>
            <w:r>
              <w:rPr>
                <w:rFonts w:ascii="Times New Roman" w:hAnsi="Times New Roman"/>
                <w:b/>
                <w:i w:val="0"/>
                <w:color w:val="000000"/>
                <w:sz w:val="24"/>
              </w:rPr>
              <w:t>ASSIGNMENT</w:t>
            </w:r>
          </w:p>
        </w:tc>
        <w:tc>
          <w:tcPr>
            <w:tcW w:type="dxa" w:w="240"/>
            <w:vAlign w:val="top"/>
          </w:tcPr>
          <w:p>
            <w:pPr>
              <w:spacing w:before="0" w:after="80" w:line="240" w:lineRule="auto"/>
            </w:pPr>
            <w:r>
              <w:rPr>
                <w:rFonts w:ascii="Times New Roman" w:hAnsi="Times New Roman"/>
                <w:b/>
                <w:i w:val="0"/>
                <w:color w:val="000000"/>
                <w:sz w:val="24"/>
              </w:rPr>
              <w:t>:</w:t>
            </w:r>
          </w:p>
        </w:tc>
        <w:tc>
          <w:tcPr>
            <w:tcW w:type="dxa" w:w="5952"/>
            <w:vAlign w:val="top"/>
          </w:tcPr>
          <w:p>
            <w:pPr>
              <w:spacing w:before="0" w:after="80" w:line="240" w:lineRule="auto"/>
            </w:pPr>
            <w:r>
              <w:rPr>
                <w:rFonts w:ascii="Times New Roman" w:hAnsi="Times New Roman"/>
                <w:b w:val="0"/>
                <w:i w:val="0"/>
                <w:color w:val="000000"/>
                <w:sz w:val="24"/>
              </w:rPr>
              <w:t>CAT 1</w:t>
            </w:r>
          </w:p>
        </w:tc>
      </w:tr>
      <w:tr>
        <w:tc>
          <w:tcPr>
            <w:tcW w:type="dxa" w:w="2808"/>
            <w:vAlign w:val="top"/>
          </w:tcPr>
          <w:p>
            <w:pPr>
              <w:spacing w:before="0" w:after="80" w:line="240" w:lineRule="auto"/>
            </w:pPr>
            <w:r>
              <w:rPr>
                <w:rFonts w:ascii="Times New Roman" w:hAnsi="Times New Roman"/>
                <w:b/>
                <w:i w:val="0"/>
                <w:color w:val="000000"/>
                <w:sz w:val="24"/>
              </w:rPr>
              <w:t>SUBMISSION DATE</w:t>
            </w:r>
          </w:p>
        </w:tc>
        <w:tc>
          <w:tcPr>
            <w:tcW w:type="dxa" w:w="240"/>
            <w:vAlign w:val="top"/>
          </w:tcPr>
          <w:p>
            <w:pPr>
              <w:spacing w:before="0" w:after="80" w:line="240" w:lineRule="auto"/>
            </w:pPr>
            <w:r>
              <w:rPr>
                <w:rFonts w:ascii="Times New Roman" w:hAnsi="Times New Roman"/>
                <w:b/>
                <w:i w:val="0"/>
                <w:color w:val="000000"/>
                <w:sz w:val="24"/>
              </w:rPr>
              <w:t>:</w:t>
            </w:r>
          </w:p>
        </w:tc>
        <w:tc>
          <w:tcPr>
            <w:tcW w:type="dxa" w:w="5952"/>
            <w:vAlign w:val="top"/>
          </w:tcPr>
          <w:p>
            <w:pPr>
              <w:spacing w:before="0" w:after="80" w:line="240" w:lineRule="auto"/>
            </w:pPr>
            <w:r>
              <w:rPr>
                <w:rFonts w:ascii="Times New Roman" w:hAnsi="Times New Roman"/>
                <w:b w:val="0"/>
                <w:i w:val="0"/>
                <w:color w:val="000000"/>
                <w:sz w:val="24"/>
              </w:rPr>
              <w:t>24TH APRIL 2026</w:t>
            </w:r>
          </w:p>
        </w:tc>
      </w:tr>
      <w:tr>
        <w:tc>
          <w:tcPr>
            <w:tcW w:type="dxa" w:w="2808"/>
            <w:vAlign w:val="top"/>
          </w:tcPr>
          <w:p>
            <w:pPr>
              <w:spacing w:before="0" w:after="80" w:line="240" w:lineRule="auto"/>
            </w:pPr>
            <w:r>
              <w:rPr>
                <w:rFonts w:ascii="Times New Roman" w:hAnsi="Times New Roman"/>
                <w:b/>
                <w:i w:val="0"/>
                <w:color w:val="000000"/>
                <w:sz w:val="24"/>
              </w:rPr>
              <w:t>MARKS</w:t>
            </w:r>
          </w:p>
        </w:tc>
        <w:tc>
          <w:tcPr>
            <w:tcW w:type="dxa" w:w="240"/>
            <w:vAlign w:val="top"/>
          </w:tcPr>
          <w:p>
            <w:pPr>
              <w:spacing w:before="0" w:after="80" w:line="240" w:lineRule="auto"/>
            </w:pPr>
            <w:r>
              <w:rPr>
                <w:rFonts w:ascii="Times New Roman" w:hAnsi="Times New Roman"/>
                <w:b/>
                <w:i w:val="0"/>
                <w:color w:val="000000"/>
                <w:sz w:val="24"/>
              </w:rPr>
              <w:t>:</w:t>
            </w:r>
          </w:p>
        </w:tc>
        <w:tc>
          <w:tcPr>
            <w:tcW w:type="dxa" w:w="5952"/>
            <w:vAlign w:val="top"/>
          </w:tcPr>
          <w:p>
            <w:pPr>
              <w:spacing w:before="0" w:after="80" w:line="240" w:lineRule="auto"/>
            </w:pPr>
            <w:r>
              <w:rPr>
                <w:rFonts w:ascii="Times New Roman" w:hAnsi="Times New Roman"/>
                <w:b w:val="0"/>
                <w:i w:val="0"/>
                <w:color w:val="000000"/>
                <w:sz w:val="24"/>
              </w:rPr>
              <w:t>30 MARKS</w:t>
            </w:r>
          </w:p>
        </w:tc>
      </w:tr>
      <w:tr>
        <w:tc>
          <w:tcPr>
            <w:tcW w:type="dxa" w:w="2808"/>
            <w:vAlign w:val="top"/>
          </w:tcPr>
          <w:p>
            <w:pPr>
              <w:spacing w:before="0" w:after="80" w:line="240" w:lineRule="auto"/>
            </w:pPr>
            <w:r>
              <w:rPr>
                <w:rFonts w:ascii="Times New Roman" w:hAnsi="Times New Roman"/>
                <w:b/>
                <w:i w:val="0"/>
                <w:color w:val="000000"/>
                <w:sz w:val="24"/>
              </w:rPr>
              <w:t>NAME</w:t>
            </w:r>
          </w:p>
        </w:tc>
        <w:tc>
          <w:tcPr>
            <w:tcW w:type="dxa" w:w="240"/>
            <w:vAlign w:val="top"/>
          </w:tcPr>
          <w:p>
            <w:pPr>
              <w:spacing w:before="0" w:after="80" w:line="240" w:lineRule="auto"/>
            </w:pPr>
            <w:r>
              <w:rPr>
                <w:rFonts w:ascii="Times New Roman" w:hAnsi="Times New Roman"/>
                <w:b/>
                <w:i w:val="0"/>
                <w:color w:val="000000"/>
                <w:sz w:val="24"/>
              </w:rPr>
              <w:t>:</w:t>
            </w:r>
          </w:p>
        </w:tc>
        <w:tc>
          <w:tcPr>
            <w:tcW w:type="dxa" w:w="5952"/>
            <w:vAlign w:val="top"/>
          </w:tcPr>
          <w:p>
            <w:pPr>
              <w:spacing w:before="0" w:after="80" w:line="240" w:lineRule="auto"/>
            </w:pPr>
            <w:r>
              <w:rPr>
                <w:rFonts w:ascii="Times New Roman" w:hAnsi="Times New Roman"/>
                <w:b w:val="0"/>
                <w:i w:val="0"/>
                <w:color w:val="000000"/>
                <w:sz w:val="24"/>
              </w:rPr>
              <w:t>MOURICE ONYANGO</w:t>
            </w:r>
          </w:p>
        </w:tc>
      </w:tr>
      <w:tr>
        <w:tc>
          <w:tcPr>
            <w:tcW w:type="dxa" w:w="2808"/>
            <w:vAlign w:val="top"/>
          </w:tcPr>
          <w:p>
            <w:pPr>
              <w:spacing w:before="0" w:after="80" w:line="240" w:lineRule="auto"/>
            </w:pPr>
            <w:r>
              <w:rPr>
                <w:rFonts w:ascii="Times New Roman" w:hAnsi="Times New Roman"/>
                <w:b/>
                <w:i w:val="0"/>
                <w:color w:val="000000"/>
                <w:sz w:val="24"/>
              </w:rPr>
              <w:t>REG NUMBER</w:t>
            </w:r>
          </w:p>
        </w:tc>
        <w:tc>
          <w:tcPr>
            <w:tcW w:type="dxa" w:w="240"/>
            <w:vAlign w:val="top"/>
          </w:tcPr>
          <w:p>
            <w:pPr>
              <w:spacing w:before="0" w:after="80" w:line="240" w:lineRule="auto"/>
            </w:pPr>
            <w:r>
              <w:rPr>
                <w:rFonts w:ascii="Times New Roman" w:hAnsi="Times New Roman"/>
                <w:b/>
                <w:i w:val="0"/>
                <w:color w:val="000000"/>
                <w:sz w:val="24"/>
              </w:rPr>
              <w:t>:</w:t>
            </w:r>
          </w:p>
        </w:tc>
        <w:tc>
          <w:tcPr>
            <w:tcW w:type="dxa" w:w="5952"/>
            <w:vAlign w:val="top"/>
          </w:tcPr>
          <w:p>
            <w:pPr>
              <w:spacing w:before="0" w:after="80" w:line="240" w:lineRule="auto"/>
            </w:pPr>
            <w:r>
              <w:rPr>
                <w:rFonts w:ascii="Times New Roman" w:hAnsi="Times New Roman"/>
                <w:b w:val="0"/>
                <w:i w:val="0"/>
                <w:color w:val="000000"/>
                <w:sz w:val="24"/>
              </w:rPr>
              <w:t>BBM/1891/22</w:t>
            </w:r>
          </w:p>
        </w:tc>
      </w:tr>
    </w:tbl>
    <w:p>
      <w:r>
        <w:br w:type="page"/>
      </w:r>
    </w:p>
    <w:p>
      <w:pPr>
        <w:spacing w:before="0" w:after="120" w:line="360" w:lineRule="auto"/>
        <w:jc w:val="left"/>
      </w:pPr>
      <w:r>
        <w:rPr>
          <w:rFonts w:ascii="Times New Roman" w:hAnsi="Times New Roman"/>
          <w:b/>
          <w:i w:val="0"/>
          <w:color w:val="000000"/>
          <w:sz w:val="24"/>
        </w:rPr>
        <w:t>QUESTION ONE: NAIVAS DIGITAL MERCHANDISING (15 MARKS)</w:t>
      </w:r>
    </w:p>
    <w:p>
      <w:pPr>
        <w:spacing w:before="0" w:after="120" w:line="360" w:lineRule="auto"/>
        <w:jc w:val="both"/>
      </w:pPr>
      <w:r>
        <w:rPr>
          <w:rFonts w:ascii="Times New Roman" w:hAnsi="Times New Roman"/>
          <w:b w:val="0"/>
          <w:i w:val="0"/>
          <w:color w:val="000000"/>
          <w:sz w:val="24"/>
        </w:rPr>
        <w:t>Naivas Supermarkets launched naivas.online to defend market share against Carrefour's online channel and emerging delivery apps such as Glovo, Jumia Food and Yum. The platform attracts strong traffic but converts only 1.2 % of visitors against an industry benchmark of 2.5 – 3 %, with 68 % of users dropping off at the product page or checkout. The diagnosis below applies the 7C Framework for Digital Retailing (Rayport &amp; Jaworski, 2003) and Conversion Rate Optimization (CRO) principles to identify the failure points and propose a structured action plan.</w:t>
      </w:r>
    </w:p>
    <w:p>
      <w:pPr>
        <w:spacing w:before="200" w:after="80" w:line="360" w:lineRule="auto"/>
        <w:jc w:val="left"/>
      </w:pPr>
      <w:r>
        <w:rPr>
          <w:rFonts w:ascii="Times New Roman" w:hAnsi="Times New Roman"/>
          <w:b/>
          <w:i/>
          <w:color w:val="000000"/>
          <w:sz w:val="24"/>
        </w:rPr>
        <w:t>(a) Three Critical 7Cs for Naivas — Weaknesses and Improvements (9 marks)</w:t>
      </w:r>
    </w:p>
    <w:p>
      <w:pPr>
        <w:spacing w:before="0" w:after="120" w:line="360" w:lineRule="auto"/>
        <w:jc w:val="both"/>
      </w:pPr>
      <w:r>
        <w:rPr>
          <w:rFonts w:ascii="Times New Roman" w:hAnsi="Times New Roman"/>
          <w:b w:val="0"/>
          <w:i w:val="0"/>
          <w:color w:val="000000"/>
          <w:sz w:val="24"/>
        </w:rPr>
        <w:t>For a grocery e-commerce business serving Kenyan households, the three most critical Cs are Context, Content and Commerce. Grocery is a high-frequency, low-margin, fresh-perishable category in which trust, speed and payment friction make or break each purchase. The remaining Cs (Community, Connection, Customization, Communication) are important but secondary to the three below.</w:t>
      </w:r>
    </w:p>
    <w:p>
      <w:pPr>
        <w:spacing w:before="200" w:after="80" w:line="360" w:lineRule="auto"/>
        <w:jc w:val="left"/>
      </w:pPr>
      <w:r>
        <w:rPr>
          <w:rFonts w:ascii="Times New Roman" w:hAnsi="Times New Roman"/>
          <w:b/>
          <w:i/>
          <w:color w:val="000000"/>
          <w:sz w:val="24"/>
        </w:rPr>
        <w:t>1. Context — Site Layout and Navigation</w:t>
      </w:r>
    </w:p>
    <w:p>
      <w:pPr>
        <w:spacing w:before="0" w:after="80" w:line="360" w:lineRule="auto"/>
        <w:ind w:left="504"/>
        <w:jc w:val="both"/>
      </w:pPr>
      <w:r>
        <w:rPr>
          <w:rFonts w:ascii="Times New Roman" w:hAnsi="Times New Roman"/>
          <w:b/>
          <w:i w:val="0"/>
          <w:color w:val="000000"/>
          <w:sz w:val="24"/>
        </w:rPr>
        <w:t xml:space="preserve">Weakness 1: </w:t>
      </w:r>
      <w:r>
        <w:rPr>
          <w:rFonts w:ascii="Times New Roman" w:hAnsi="Times New Roman"/>
          <w:b w:val="0"/>
          <w:i w:val="0"/>
          <w:color w:val="000000"/>
          <w:sz w:val="24"/>
        </w:rPr>
        <w:t>Cluttered top-level navigation. The current menu lists more than twelve departments side-by-side, forcing shoppers into three or four taps before they can locate everyday staples such as bread, milk, unga and sukari. This violates the "three-tap rule" used by best-in-class grocery sites.</w:t>
      </w:r>
    </w:p>
    <w:p>
      <w:pPr>
        <w:spacing w:before="0" w:after="80" w:line="360" w:lineRule="auto"/>
        <w:ind w:left="504"/>
        <w:jc w:val="both"/>
      </w:pPr>
      <w:r>
        <w:rPr>
          <w:rFonts w:ascii="Times New Roman" w:hAnsi="Times New Roman"/>
          <w:b/>
          <w:i w:val="0"/>
          <w:color w:val="000000"/>
          <w:sz w:val="24"/>
        </w:rPr>
        <w:t xml:space="preserve">Weakness 2: </w:t>
      </w:r>
      <w:r>
        <w:rPr>
          <w:rFonts w:ascii="Times New Roman" w:hAnsi="Times New Roman"/>
          <w:b w:val="0"/>
          <w:i w:val="0"/>
          <w:color w:val="000000"/>
          <w:sz w:val="24"/>
        </w:rPr>
        <w:t>Slow mobile load times (often above five seconds on a 3G connection) caused by un-optimised banner imagery and heavy JavaScript carousels. Google research shows bounce probability rises 32 % when load time goes from one to three seconds.</w:t>
      </w:r>
    </w:p>
    <w:p>
      <w:pPr>
        <w:spacing w:before="0" w:after="80" w:line="360" w:lineRule="auto"/>
        <w:ind w:left="504"/>
        <w:jc w:val="both"/>
      </w:pPr>
      <w:r>
        <w:rPr>
          <w:rFonts w:ascii="Times New Roman" w:hAnsi="Times New Roman"/>
          <w:b/>
          <w:i w:val="0"/>
          <w:color w:val="000000"/>
          <w:sz w:val="24"/>
        </w:rPr>
        <w:t xml:space="preserve">Improvement: </w:t>
      </w:r>
      <w:r>
        <w:rPr>
          <w:rFonts w:ascii="Times New Roman" w:hAnsi="Times New Roman"/>
          <w:b w:val="0"/>
          <w:i w:val="0"/>
          <w:color w:val="000000"/>
          <w:sz w:val="24"/>
        </w:rPr>
        <w:t>Re-architect the homepage around a "frequently bought" rail driven by user purchase history; lazy-load all below-the-fold images; replace the JavaScript carousel with a static hero banner; and enforce a maximum-three-tap rule from landing → category → product → cart.</w:t>
      </w:r>
    </w:p>
    <w:p>
      <w:pPr>
        <w:spacing w:before="200" w:after="80" w:line="360" w:lineRule="auto"/>
        <w:jc w:val="left"/>
      </w:pPr>
      <w:r>
        <w:rPr>
          <w:rFonts w:ascii="Times New Roman" w:hAnsi="Times New Roman"/>
          <w:b/>
          <w:i/>
          <w:color w:val="000000"/>
          <w:sz w:val="24"/>
        </w:rPr>
        <w:t>2. Content — Product Information Quality</w:t>
      </w:r>
    </w:p>
    <w:p>
      <w:pPr>
        <w:spacing w:before="0" w:after="80" w:line="360" w:lineRule="auto"/>
        <w:ind w:left="504"/>
        <w:jc w:val="both"/>
      </w:pPr>
      <w:r>
        <w:rPr>
          <w:rFonts w:ascii="Times New Roman" w:hAnsi="Times New Roman"/>
          <w:b/>
          <w:i w:val="0"/>
          <w:color w:val="000000"/>
          <w:sz w:val="24"/>
        </w:rPr>
        <w:t xml:space="preserve">Weakness 1: </w:t>
      </w:r>
      <w:r>
        <w:rPr>
          <w:rFonts w:ascii="Times New Roman" w:hAnsi="Times New Roman"/>
          <w:b w:val="0"/>
          <w:i w:val="0"/>
          <w:color w:val="000000"/>
          <w:sz w:val="24"/>
        </w:rPr>
        <w:t>Generic manufacturer-supplied product photos with no scale reference, ingredient close-ups or "in-basket" lifestyle shots. Fresh-food categories (meat, vegetables, dairy) particularly suffer because shoppers cannot judge freshness or portion size.</w:t>
      </w:r>
    </w:p>
    <w:p>
      <w:pPr>
        <w:spacing w:before="0" w:after="80" w:line="360" w:lineRule="auto"/>
        <w:ind w:left="504"/>
        <w:jc w:val="both"/>
      </w:pPr>
      <w:r>
        <w:rPr>
          <w:rFonts w:ascii="Times New Roman" w:hAnsi="Times New Roman"/>
          <w:b/>
          <w:i w:val="0"/>
          <w:color w:val="000000"/>
          <w:sz w:val="24"/>
        </w:rPr>
        <w:t xml:space="preserve">Weakness 2: </w:t>
      </w:r>
      <w:r>
        <w:rPr>
          <w:rFonts w:ascii="Times New Roman" w:hAnsi="Times New Roman"/>
          <w:b w:val="0"/>
          <w:i w:val="0"/>
          <w:color w:val="000000"/>
          <w:sz w:val="24"/>
        </w:rPr>
        <w:t>Inconsistent weight and quantity descriptions — for example, identical thumbnails for "Sukari 1 kg" and "Sukari 2 kg" packs lead to wrong-item purchases and negative reviews that further erode trust.</w:t>
      </w:r>
    </w:p>
    <w:p>
      <w:pPr>
        <w:spacing w:before="0" w:after="80" w:line="360" w:lineRule="auto"/>
        <w:ind w:left="504"/>
        <w:jc w:val="both"/>
      </w:pPr>
      <w:r>
        <w:rPr>
          <w:rFonts w:ascii="Times New Roman" w:hAnsi="Times New Roman"/>
          <w:b/>
          <w:i w:val="0"/>
          <w:color w:val="000000"/>
          <w:sz w:val="24"/>
        </w:rPr>
        <w:t xml:space="preserve">Improvement: </w:t>
      </w:r>
      <w:r>
        <w:rPr>
          <w:rFonts w:ascii="Times New Roman" w:hAnsi="Times New Roman"/>
          <w:b w:val="0"/>
          <w:i w:val="0"/>
          <w:color w:val="000000"/>
          <w:sz w:val="24"/>
        </w:rPr>
        <w:t>Standardise every product detail page (PDP) with a high-quality primary image, a secondary scale shot, the gross weight in bold, an explicit expiry-buffer guarantee (e.g. "minimum 7 days to expiry on delivery"), and a structured "what's inside" specification table.</w:t>
      </w:r>
    </w:p>
    <w:p>
      <w:pPr>
        <w:spacing w:before="200" w:after="80" w:line="360" w:lineRule="auto"/>
        <w:jc w:val="left"/>
      </w:pPr>
      <w:r>
        <w:rPr>
          <w:rFonts w:ascii="Times New Roman" w:hAnsi="Times New Roman"/>
          <w:b/>
          <w:i/>
          <w:color w:val="000000"/>
          <w:sz w:val="24"/>
        </w:rPr>
        <w:t>3. Commerce — Checkout and Payment Infrastructure</w:t>
      </w:r>
    </w:p>
    <w:p>
      <w:pPr>
        <w:spacing w:before="0" w:after="80" w:line="360" w:lineRule="auto"/>
        <w:ind w:left="504"/>
        <w:jc w:val="both"/>
      </w:pPr>
      <w:r>
        <w:rPr>
          <w:rFonts w:ascii="Times New Roman" w:hAnsi="Times New Roman"/>
          <w:b/>
          <w:i w:val="0"/>
          <w:color w:val="000000"/>
          <w:sz w:val="24"/>
        </w:rPr>
        <w:t xml:space="preserve">Weakness 1: </w:t>
      </w:r>
      <w:r>
        <w:rPr>
          <w:rFonts w:ascii="Times New Roman" w:hAnsi="Times New Roman"/>
          <w:b w:val="0"/>
          <w:i w:val="0"/>
          <w:color w:val="000000"/>
          <w:sz w:val="24"/>
        </w:rPr>
        <w:t>Mandatory account creation before checkout — a documented friction point that Baymard Institute (2024) measures as responsible for 24 % of global cart abandonment. First-time shoppers in Kenya prefer to test the experience before committing personal data.</w:t>
      </w:r>
    </w:p>
    <w:p>
      <w:pPr>
        <w:spacing w:before="0" w:after="80" w:line="360" w:lineRule="auto"/>
        <w:ind w:left="504"/>
        <w:jc w:val="both"/>
      </w:pPr>
      <w:r>
        <w:rPr>
          <w:rFonts w:ascii="Times New Roman" w:hAnsi="Times New Roman"/>
          <w:b/>
          <w:i w:val="0"/>
          <w:color w:val="000000"/>
          <w:sz w:val="24"/>
        </w:rPr>
        <w:t xml:space="preserve">Weakness 2: </w:t>
      </w:r>
      <w:r>
        <w:rPr>
          <w:rFonts w:ascii="Times New Roman" w:hAnsi="Times New Roman"/>
          <w:b w:val="0"/>
          <w:i w:val="0"/>
          <w:color w:val="000000"/>
          <w:sz w:val="24"/>
        </w:rPr>
        <w:t>Limited delivery-slot transparency. Available slots are only revealed after the customer has paid, breaching expectation. Customers in Nairobi who need same-day delivery rage-quit when they discover the earliest slot is two days later.</w:t>
      </w:r>
    </w:p>
    <w:p>
      <w:pPr>
        <w:spacing w:before="0" w:after="80" w:line="360" w:lineRule="auto"/>
        <w:ind w:left="504"/>
        <w:jc w:val="both"/>
      </w:pPr>
      <w:r>
        <w:rPr>
          <w:rFonts w:ascii="Times New Roman" w:hAnsi="Times New Roman"/>
          <w:b/>
          <w:i w:val="0"/>
          <w:color w:val="000000"/>
          <w:sz w:val="24"/>
        </w:rPr>
        <w:t xml:space="preserve">Improvement: </w:t>
      </w:r>
      <w:r>
        <w:rPr>
          <w:rFonts w:ascii="Times New Roman" w:hAnsi="Times New Roman"/>
          <w:b w:val="0"/>
          <w:i w:val="0"/>
          <w:color w:val="000000"/>
          <w:sz w:val="24"/>
        </w:rPr>
        <w:t>Enable guest checkout backed by an M-PESA Express STK push, and surface a colour-coded delivery-slot calendar before the cart-review screen so the customer commits to a slot up front.</w:t>
      </w:r>
    </w:p>
    <w:p>
      <w:pPr>
        <w:spacing w:before="200" w:after="80" w:line="360" w:lineRule="auto"/>
        <w:jc w:val="left"/>
      </w:pPr>
      <w:r>
        <w:rPr>
          <w:rFonts w:ascii="Times New Roman" w:hAnsi="Times New Roman"/>
          <w:b/>
          <w:i/>
          <w:color w:val="000000"/>
          <w:sz w:val="24"/>
        </w:rPr>
        <w:t>(b) Two CRO Tactics for the Cart-Abandonment Problem (6 marks)</w:t>
      </w:r>
    </w:p>
    <w:p>
      <w:pPr>
        <w:spacing w:before="200" w:after="80" w:line="360" w:lineRule="auto"/>
        <w:jc w:val="left"/>
      </w:pPr>
      <w:r>
        <w:rPr>
          <w:rFonts w:ascii="Times New Roman" w:hAnsi="Times New Roman"/>
          <w:b/>
          <w:i/>
          <w:color w:val="000000"/>
          <w:sz w:val="24"/>
        </w:rPr>
        <w:t>Tactic 1: One-Tap M-PESA Express Checkout with Persistent Cart</w:t>
      </w:r>
    </w:p>
    <w:p>
      <w:pPr>
        <w:spacing w:before="0" w:after="120" w:line="360" w:lineRule="auto"/>
        <w:jc w:val="both"/>
      </w:pPr>
      <w:r>
        <w:rPr>
          <w:rFonts w:ascii="Times New Roman" w:hAnsi="Times New Roman"/>
          <w:b w:val="0"/>
          <w:i w:val="0"/>
          <w:color w:val="000000"/>
          <w:sz w:val="24"/>
        </w:rPr>
        <w:t>Replace the multi-step billing → shipping → payment funnel with a single STK push triggered from the cart page. The cart is keyed to the shopper's phone number and persists across sessions, so a customer interrupted by a phone call or weak signal can resume from any device without losing items.</w:t>
      </w:r>
    </w:p>
    <w:p>
      <w:pPr>
        <w:spacing w:before="0" w:after="80" w:line="360" w:lineRule="auto"/>
        <w:ind w:left="504"/>
        <w:jc w:val="both"/>
      </w:pPr>
      <w:r>
        <w:rPr>
          <w:rFonts w:ascii="Times New Roman" w:hAnsi="Times New Roman"/>
          <w:b/>
          <w:i w:val="0"/>
          <w:color w:val="000000"/>
          <w:sz w:val="24"/>
        </w:rPr>
        <w:t xml:space="preserve">7C Justification: </w:t>
      </w:r>
      <w:r>
        <w:rPr>
          <w:rFonts w:ascii="Times New Roman" w:hAnsi="Times New Roman"/>
          <w:b w:val="0"/>
          <w:i w:val="0"/>
          <w:color w:val="000000"/>
          <w:sz w:val="24"/>
        </w:rPr>
        <w:t>This tactic operates on Commerce (transaction infrastructure) and Connection (linking the website to the customer's preferred payment instrument). It removes the highest-friction step in Kenyan e-commerce — manual paybill entry — and directly attacks the 68 % checkout drop-off identified in the case data.</w:t>
      </w:r>
    </w:p>
    <w:p>
      <w:pPr>
        <w:spacing w:before="200" w:after="80" w:line="360" w:lineRule="auto"/>
        <w:jc w:val="left"/>
      </w:pPr>
      <w:r>
        <w:rPr>
          <w:rFonts w:ascii="Times New Roman" w:hAnsi="Times New Roman"/>
          <w:b/>
          <w:i/>
          <w:color w:val="000000"/>
          <w:sz w:val="24"/>
        </w:rPr>
        <w:t>Tactic 2: Exit-Intent "Save Your Basket" via WhatsApp</w:t>
      </w:r>
    </w:p>
    <w:p>
      <w:pPr>
        <w:spacing w:before="0" w:after="120" w:line="360" w:lineRule="auto"/>
        <w:jc w:val="both"/>
      </w:pPr>
      <w:r>
        <w:rPr>
          <w:rFonts w:ascii="Times New Roman" w:hAnsi="Times New Roman"/>
          <w:b w:val="0"/>
          <w:i w:val="0"/>
          <w:color w:val="000000"/>
          <w:sz w:val="24"/>
        </w:rPr>
        <w:t>When the user moves the cursor toward the close-tab button or puts the app to background, present a modal offering to send the basket contents to their WhatsApp. The message contains a one-click deep-link that returns them to a pre-filled checkout with the same items, prices and delivery slot held for 30 minutes.</w:t>
      </w:r>
    </w:p>
    <w:p>
      <w:pPr>
        <w:spacing w:before="0" w:after="80" w:line="360" w:lineRule="auto"/>
        <w:ind w:left="504"/>
        <w:jc w:val="both"/>
      </w:pPr>
      <w:r>
        <w:rPr>
          <w:rFonts w:ascii="Times New Roman" w:hAnsi="Times New Roman"/>
          <w:b/>
          <w:i w:val="0"/>
          <w:color w:val="000000"/>
          <w:sz w:val="24"/>
        </w:rPr>
        <w:t xml:space="preserve">7C Justification: </w:t>
      </w:r>
      <w:r>
        <w:rPr>
          <w:rFonts w:ascii="Times New Roman" w:hAnsi="Times New Roman"/>
          <w:b w:val="0"/>
          <w:i w:val="0"/>
          <w:color w:val="000000"/>
          <w:sz w:val="24"/>
        </w:rPr>
        <w:t>This tactic operates on Communication (message channel) and Customization (personalised recovery content). WhatsApp delivers near-100 % open rates among Kenyan shoppers and the recovery message is personal rather than generic, so it recovers a meaningful share of the 68 % product-page and checkout drop-offs that other channels (email, push) fail to reach.</w:t>
      </w:r>
    </w:p>
    <w:p>
      <w:r>
        <w:br w:type="page"/>
      </w:r>
    </w:p>
    <w:p>
      <w:pPr>
        <w:spacing w:before="0" w:after="120" w:line="360" w:lineRule="auto"/>
        <w:jc w:val="left"/>
      </w:pPr>
      <w:r>
        <w:rPr>
          <w:rFonts w:ascii="Times New Roman" w:hAnsi="Times New Roman"/>
          <w:b/>
          <w:i w:val="0"/>
          <w:color w:val="000000"/>
          <w:sz w:val="24"/>
        </w:rPr>
        <w:t>QUESTION TWO: VIVO FASHION APP CONVERSION (15 MARKS)</w:t>
      </w:r>
    </w:p>
    <w:p>
      <w:pPr>
        <w:spacing w:before="0" w:after="120" w:line="360" w:lineRule="auto"/>
        <w:jc w:val="both"/>
      </w:pPr>
      <w:r>
        <w:rPr>
          <w:rFonts w:ascii="Times New Roman" w:hAnsi="Times New Roman"/>
          <w:b w:val="0"/>
          <w:i w:val="0"/>
          <w:color w:val="000000"/>
          <w:sz w:val="24"/>
        </w:rPr>
        <w:t>Vivo Fashion has built a feature-rich mobile app, yet 55 % of users abandon their cart, the product detail page bounce rate is 40 %, and only 12 % of users engage with the personalised recommendation engine. Acting as a digital merchandising consultant, the analysis below applies CRO principles and the 7C Framework to identify the root causes and propose corrective experiments.</w:t>
      </w:r>
    </w:p>
    <w:p>
      <w:pPr>
        <w:spacing w:before="200" w:after="80" w:line="360" w:lineRule="auto"/>
        <w:jc w:val="left"/>
      </w:pPr>
      <w:r>
        <w:rPr>
          <w:rFonts w:ascii="Times New Roman" w:hAnsi="Times New Roman"/>
          <w:b/>
          <w:i/>
          <w:color w:val="000000"/>
          <w:sz w:val="24"/>
        </w:rPr>
        <w:t>(a) Three Reasons for the High Abandonment and Bounce Rates with A/B Tests (9 marks)</w:t>
      </w:r>
    </w:p>
    <w:p>
      <w:pPr>
        <w:spacing w:before="200" w:after="80" w:line="360" w:lineRule="auto"/>
        <w:jc w:val="left"/>
      </w:pPr>
      <w:r>
        <w:rPr>
          <w:rFonts w:ascii="Times New Roman" w:hAnsi="Times New Roman"/>
          <w:b/>
          <w:i/>
          <w:color w:val="000000"/>
          <w:sz w:val="24"/>
        </w:rPr>
        <w:t>Reason 1: Weak Visual Hierarchy on the Product Detail Page</w:t>
      </w:r>
    </w:p>
    <w:p>
      <w:pPr>
        <w:spacing w:before="0" w:after="120" w:line="360" w:lineRule="auto"/>
        <w:jc w:val="both"/>
      </w:pPr>
      <w:r>
        <w:rPr>
          <w:rFonts w:ascii="Times New Roman" w:hAnsi="Times New Roman"/>
          <w:b w:val="0"/>
          <w:i w:val="0"/>
          <w:color w:val="000000"/>
          <w:sz w:val="24"/>
        </w:rPr>
        <w:t>On the current PDP, the "Add to Cart" call-to-action competes visually with three equally-weighted secondary buttons — wishlist, share and size-guide. This breaches the F-pattern eye-tracking principle (Nielsen Norman Group) and dilutes the primary action.</w:t>
      </w:r>
    </w:p>
    <w:p>
      <w:pPr>
        <w:spacing w:before="0" w:after="80" w:line="360" w:lineRule="auto"/>
        <w:ind w:left="504"/>
        <w:jc w:val="both"/>
      </w:pPr>
      <w:r>
        <w:rPr>
          <w:rFonts w:ascii="Times New Roman" w:hAnsi="Times New Roman"/>
          <w:b/>
          <w:i w:val="0"/>
          <w:color w:val="000000"/>
          <w:sz w:val="24"/>
        </w:rPr>
        <w:t xml:space="preserve">A/B Test: </w:t>
      </w:r>
      <w:r>
        <w:rPr>
          <w:rFonts w:ascii="Times New Roman" w:hAnsi="Times New Roman"/>
          <w:b w:val="0"/>
          <w:i w:val="0"/>
          <w:color w:val="000000"/>
          <w:sz w:val="24"/>
        </w:rPr>
        <w:t>Variant A (control) keeps the existing layout. Variant B promotes the "Add to Cart" CTA to a sticky bottom-of-screen pill in Vivo brand-orange, while greying the secondary actions and moving them into a "more options" overflow menu. Run for 14 days with at least 5,000 sessions per variant; primary metric: PDP-to-cart conversion rate.</w:t>
      </w:r>
    </w:p>
    <w:p>
      <w:pPr>
        <w:spacing w:before="200" w:after="80" w:line="360" w:lineRule="auto"/>
        <w:jc w:val="left"/>
      </w:pPr>
      <w:r>
        <w:rPr>
          <w:rFonts w:ascii="Times New Roman" w:hAnsi="Times New Roman"/>
          <w:b/>
          <w:i/>
          <w:color w:val="000000"/>
          <w:sz w:val="24"/>
        </w:rPr>
        <w:t>Reason 2: Absence of Urgency and Scarcity Cues</w:t>
      </w:r>
    </w:p>
    <w:p>
      <w:pPr>
        <w:spacing w:before="0" w:after="120" w:line="360" w:lineRule="auto"/>
        <w:jc w:val="both"/>
      </w:pPr>
      <w:r>
        <w:rPr>
          <w:rFonts w:ascii="Times New Roman" w:hAnsi="Times New Roman"/>
          <w:b w:val="0"/>
          <w:i w:val="0"/>
          <w:color w:val="000000"/>
          <w:sz w:val="24"/>
        </w:rPr>
        <w:t>Fashion is an emotionally driven, identity-led purchase. The current app shows no stock indicators or time-bound offers, so shoppers feel no cost to delaying the decision. This is a classic CRO scarcity-and-urgency gap.</w:t>
      </w:r>
    </w:p>
    <w:p>
      <w:pPr>
        <w:spacing w:before="0" w:after="80" w:line="360" w:lineRule="auto"/>
        <w:ind w:left="504"/>
        <w:jc w:val="both"/>
      </w:pPr>
      <w:r>
        <w:rPr>
          <w:rFonts w:ascii="Times New Roman" w:hAnsi="Times New Roman"/>
          <w:b/>
          <w:i w:val="0"/>
          <w:color w:val="000000"/>
          <w:sz w:val="24"/>
        </w:rPr>
        <w:t xml:space="preserve">A/B Test: </w:t>
      </w:r>
      <w:r>
        <w:rPr>
          <w:rFonts w:ascii="Times New Roman" w:hAnsi="Times New Roman"/>
          <w:b w:val="0"/>
          <w:i w:val="0"/>
          <w:color w:val="000000"/>
          <w:sz w:val="24"/>
        </w:rPr>
        <w:t>Variant A unchanged. Variant B introduces a "Only 3 left in your size" badge on PDPs and a 30-minute "Hold this item" reservation timer that activates when the user adds to cart. Primary metric: cart-to-checkout conversion rate; secondary: average time from cart-add to purchase.</w:t>
      </w:r>
    </w:p>
    <w:p>
      <w:pPr>
        <w:spacing w:before="200" w:after="80" w:line="360" w:lineRule="auto"/>
        <w:jc w:val="left"/>
      </w:pPr>
      <w:r>
        <w:rPr>
          <w:rFonts w:ascii="Times New Roman" w:hAnsi="Times New Roman"/>
          <w:b/>
          <w:i/>
          <w:color w:val="000000"/>
          <w:sz w:val="24"/>
        </w:rPr>
        <w:t>Reason 3: Excessive Checkout Friction</w:t>
      </w:r>
    </w:p>
    <w:p>
      <w:pPr>
        <w:spacing w:before="0" w:after="120" w:line="360" w:lineRule="auto"/>
        <w:jc w:val="both"/>
      </w:pPr>
      <w:r>
        <w:rPr>
          <w:rFonts w:ascii="Times New Roman" w:hAnsi="Times New Roman"/>
          <w:b w:val="0"/>
          <w:i w:val="0"/>
          <w:color w:val="000000"/>
          <w:sz w:val="24"/>
        </w:rPr>
        <w:t>The current funnel forces shoppers through five separate screens between cart and confirmation, including a mandatory delivery-address typing step even for repeat customers whose addresses are already on file. Every additional screen compounds the abandonment risk.</w:t>
      </w:r>
    </w:p>
    <w:p>
      <w:pPr>
        <w:spacing w:before="0" w:after="80" w:line="360" w:lineRule="auto"/>
        <w:ind w:left="504"/>
        <w:jc w:val="both"/>
      </w:pPr>
      <w:r>
        <w:rPr>
          <w:rFonts w:ascii="Times New Roman" w:hAnsi="Times New Roman"/>
          <w:b/>
          <w:i w:val="0"/>
          <w:color w:val="000000"/>
          <w:sz w:val="24"/>
        </w:rPr>
        <w:t xml:space="preserve">A/B Test: </w:t>
      </w:r>
      <w:r>
        <w:rPr>
          <w:rFonts w:ascii="Times New Roman" w:hAnsi="Times New Roman"/>
          <w:b w:val="0"/>
          <w:i w:val="0"/>
          <w:color w:val="000000"/>
          <w:sz w:val="24"/>
        </w:rPr>
        <w:t>Variant A (5-step current flow). Variant B condenses the flow into a single accordion screen with the saved delivery address auto-filled and biometric (fingerprint or Face ID) M-PESA confirmation. Primary metric: checkout completion rate; secondary: median time-to-purchase.</w:t>
      </w:r>
    </w:p>
    <w:p>
      <w:pPr>
        <w:spacing w:before="200" w:after="80" w:line="360" w:lineRule="auto"/>
        <w:jc w:val="left"/>
      </w:pPr>
      <w:r>
        <w:rPr>
          <w:rFonts w:ascii="Times New Roman" w:hAnsi="Times New Roman"/>
          <w:b/>
          <w:i/>
          <w:color w:val="000000"/>
          <w:sz w:val="24"/>
        </w:rPr>
        <w:t>(b) Two 7C Elements Redesigned for Kenyan Omnichannel Fashion (6 marks)</w:t>
      </w:r>
    </w:p>
    <w:p>
      <w:pPr>
        <w:spacing w:before="200" w:after="80" w:line="360" w:lineRule="auto"/>
        <w:jc w:val="left"/>
      </w:pPr>
      <w:r>
        <w:rPr>
          <w:rFonts w:ascii="Times New Roman" w:hAnsi="Times New Roman"/>
          <w:b/>
          <w:i/>
          <w:color w:val="000000"/>
          <w:sz w:val="24"/>
        </w:rPr>
        <w:t>1. Customization — Behaviour-Aware Recommendations Bridging In-App and In-Store Data</w:t>
      </w:r>
    </w:p>
    <w:p>
      <w:pPr>
        <w:spacing w:before="0" w:after="120" w:line="360" w:lineRule="auto"/>
        <w:jc w:val="both"/>
      </w:pPr>
      <w:r>
        <w:rPr>
          <w:rFonts w:ascii="Times New Roman" w:hAnsi="Times New Roman"/>
          <w:b w:val="0"/>
          <w:i w:val="0"/>
          <w:color w:val="000000"/>
          <w:sz w:val="24"/>
        </w:rPr>
        <w:t>Replace the static "Recommended for you" carousel (currently engaged with by only 12 % of users) with a behaviour-aware recommendation engine that fuses in-app browsing history with in-store fitting-room data captured via RFID tags on every garment. A customer who tried on three dresses at the Vivo Sarit branch sees those exact items at the top of her app feed when she opens it within 24 hours, paired with matching shoes and bags. This addresses the dominant Kenyan fashion-shopper behaviour of "browse online, fit in-store, decide later" and turns physical visits into a personalisation signal rather than a lost touch point.</w:t>
      </w:r>
    </w:p>
    <w:p>
      <w:pPr>
        <w:spacing w:before="200" w:after="80" w:line="360" w:lineRule="auto"/>
        <w:jc w:val="left"/>
      </w:pPr>
      <w:r>
        <w:rPr>
          <w:rFonts w:ascii="Times New Roman" w:hAnsi="Times New Roman"/>
          <w:b/>
          <w:i/>
          <w:color w:val="000000"/>
          <w:sz w:val="24"/>
        </w:rPr>
        <w:t>2. Communication — Event-Driven WhatsApp Recovery Threads</w:t>
      </w:r>
    </w:p>
    <w:p>
      <w:pPr>
        <w:spacing w:before="0" w:after="120" w:line="360" w:lineRule="auto"/>
        <w:jc w:val="both"/>
      </w:pPr>
      <w:r>
        <w:rPr>
          <w:rFonts w:ascii="Times New Roman" w:hAnsi="Times New Roman"/>
          <w:b w:val="0"/>
          <w:i w:val="0"/>
          <w:color w:val="000000"/>
          <w:sz w:val="24"/>
        </w:rPr>
        <w:t>Replace generic broadcast push notifications (largely muted by users) with event-driven WhatsApp Business conversations. When a cart is abandoned for more than one hour, a polite WhatsApp message is sent containing the abandoned items, the nearest Vivo branch holding stock in the customer's size, and a "reserve for in-store collection" call-to-action. This deliberately monetises the omnichannel browse-online-buy-in-store pattern by converting the cart-abandonment leak into store footfall, rather than treating it as a lost sale. WhatsApp's near-universal reach in Kenya guarantees the message is seen, and the personalised, conversational tone outperforms transactional email and push by a wide margin.</w:t>
      </w:r>
    </w:p>
    <w:p>
      <w:pPr>
        <w:spacing w:before="200" w:after="120" w:line="360" w:lineRule="auto"/>
        <w:jc w:val="both"/>
      </w:pPr>
      <w:r>
        <w:rPr>
          <w:rFonts w:ascii="Times New Roman" w:hAnsi="Times New Roman"/>
          <w:b w:val="0"/>
          <w:i w:val="0"/>
          <w:color w:val="000000"/>
          <w:sz w:val="24"/>
        </w:rPr>
        <w:t>In conclusion, Vivo's app does not need more features — it needs sharper visual hierarchy, stronger urgency triggers, a one-screen checkout and a customization-and-communication redesign that embraces, rather than ignores, the omnichannel reality of the Kenyan fashion shopper.</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