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left"/>
        <w:rPr>
          <w:i w:val="1"/>
        </w:rPr>
      </w:pPr>
      <w:bookmarkStart w:colFirst="0" w:colLast="0" w:name="_2xqc435nx7zu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3163570" cy="316357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3163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Playfair Display SC" w:cs="Playfair Display SC" w:eastAsia="Playfair Display SC" w:hAnsi="Playfair Display SC"/>
          <w:b w:val="1"/>
          <w:sz w:val="60"/>
          <w:szCs w:val="60"/>
        </w:rPr>
      </w:pPr>
      <w:bookmarkStart w:colFirst="0" w:colLast="0" w:name="_gjdgxs" w:id="1"/>
      <w:bookmarkEnd w:id="1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60"/>
          <w:szCs w:val="60"/>
          <w:rtl w:val="0"/>
        </w:rPr>
        <w:t xml:space="preserve">Maave</w:t>
      </w:r>
    </w:p>
    <w:p w:rsidR="00000000" w:rsidDel="00000000" w:rsidP="00000000" w:rsidRDefault="00000000" w:rsidRPr="00000000" w14:paraId="00000003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bookmarkStart w:colFirst="0" w:colLast="0" w:name="_98nzsl9tmw00" w:id="2"/>
      <w:bookmarkEnd w:id="2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Primera Iteración</w:t>
      </w:r>
    </w:p>
    <w:p w:rsidR="00000000" w:rsidDel="00000000" w:rsidP="00000000" w:rsidRDefault="00000000" w:rsidRPr="00000000" w14:paraId="00000004">
      <w:pPr>
        <w:jc w:val="center"/>
        <w:rPr>
          <w:rFonts w:ascii="Playfair Display SC" w:cs="Playfair Display SC" w:eastAsia="Playfair Display SC" w:hAnsi="Playfair Display SC"/>
          <w:b w:val="1"/>
          <w:sz w:val="50"/>
          <w:szCs w:val="50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0"/>
          <w:szCs w:val="50"/>
          <w:rtl w:val="0"/>
        </w:rPr>
        <w:t xml:space="preserve">Integración y Pruebas</w:t>
      </w:r>
    </w:p>
    <w:p w:rsidR="00000000" w:rsidDel="00000000" w:rsidP="00000000" w:rsidRDefault="00000000" w:rsidRPr="00000000" w14:paraId="00000005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1.0</w:t>
      </w:r>
    </w:p>
    <w:p w:rsidR="00000000" w:rsidDel="00000000" w:rsidP="00000000" w:rsidRDefault="00000000" w:rsidRPr="00000000" w14:paraId="00000006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31 Marzo 2019</w:t>
      </w:r>
    </w:p>
    <w:p w:rsidR="00000000" w:rsidDel="00000000" w:rsidP="00000000" w:rsidRDefault="00000000" w:rsidRPr="00000000" w14:paraId="00000007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Ángeles Martínez Ángela Janín</w:t>
      </w:r>
    </w:p>
    <w:p w:rsidR="00000000" w:rsidDel="00000000" w:rsidP="00000000" w:rsidRDefault="00000000" w:rsidRPr="00000000" w14:paraId="0000000A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Araujo Chávez Mauricio</w:t>
      </w:r>
    </w:p>
    <w:p w:rsidR="00000000" w:rsidDel="00000000" w:rsidP="00000000" w:rsidRDefault="00000000" w:rsidRPr="00000000" w14:paraId="0000000B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Castro Espinosa Erick Enrique</w:t>
      </w:r>
    </w:p>
    <w:p w:rsidR="00000000" w:rsidDel="00000000" w:rsidP="00000000" w:rsidRDefault="00000000" w:rsidRPr="00000000" w14:paraId="0000000C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Flores López Ana Bertha</w:t>
      </w:r>
    </w:p>
    <w:p w:rsidR="00000000" w:rsidDel="00000000" w:rsidP="00000000" w:rsidRDefault="00000000" w:rsidRPr="00000000" w14:paraId="0000000D">
      <w:pPr>
        <w:ind w:left="720" w:hanging="359"/>
        <w:jc w:val="center"/>
        <w:rPr>
          <w:i w:val="1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García Landa Valeria</w:t>
      </w:r>
      <w:r w:rsidDel="00000000" w:rsidR="00000000" w:rsidRPr="00000000">
        <w:rPr>
          <w:rtl w:val="0"/>
        </w:rPr>
      </w:r>
    </w:p>
    <w:bookmarkStart w:colFirst="0" w:colLast="0" w:name="gjdgxs" w:id="3"/>
    <w:bookmarkEnd w:id="3"/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Integración y Pruebas de Software</w:t>
      </w:r>
    </w:p>
    <w:bookmarkStart w:colFirst="0" w:colLast="0" w:name="30j0zll" w:id="4"/>
    <w:bookmarkEnd w:id="4"/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Diseño de Software</w:t>
      </w:r>
    </w:p>
    <w:p w:rsidR="00000000" w:rsidDel="00000000" w:rsidP="00000000" w:rsidRDefault="00000000" w:rsidRPr="00000000" w14:paraId="00000013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hyperlink w:anchor="3rdcrjn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Referencia al documento de </w:t>
        </w:r>
      </w:hyperlink>
      <w:hyperlink w:anchor="3rdcrjn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Construcción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hyperlink w:anchor="26in1rg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Especificación de la estrategia de integración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hyperlink w:anchor="lnxbz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Configuración del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para registrar de defectos por caso de uso en la integración</w:t>
      </w:r>
    </w:p>
    <w:p w:rsidR="00000000" w:rsidDel="00000000" w:rsidP="00000000" w:rsidRDefault="00000000" w:rsidRPr="00000000" w14:paraId="0000001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1fob9te" w:id="5"/>
    <w:bookmarkEnd w:id="5"/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Especificación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https://docs.google.com/document/d/1FJc8BUKnkM6oWnF6NvBDZ0SDp9JsojS2Hbx5CSqHxsA/edit#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3znysh7" w:id="6"/>
    <w:bookmarkEnd w:id="6"/>
    <w:p w:rsidR="00000000" w:rsidDel="00000000" w:rsidP="00000000" w:rsidRDefault="00000000" w:rsidRPr="00000000" w14:paraId="0000001F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ff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https://docs.google.com/document/d/1SUSeYznaUsR0R8vALKltVB5ZJ95CAmP9uimsYRdAXrc/edit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2et92p0" w:id="7"/>
    <w:bookmarkEnd w:id="7"/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yjcwt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Construcción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ff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https://docs.google.com/document/d/1PNzc5_ttp0bw0DGF8zuZyYq55Imw8oxAdKu8zFP4rTU/edit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3dy6vkm" w:id="9"/>
    <w:bookmarkEnd w:id="9"/>
    <w:p w:rsidR="00000000" w:rsidDel="00000000" w:rsidP="00000000" w:rsidRDefault="00000000" w:rsidRPr="00000000" w14:paraId="00000029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de la estrategia de integración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la integración se ocupó GitHub en el cual se subió el proyecto en la rama master y de ahí cada desarrollador lo clonó y se crearon ramas de cada caso de uso en donde se trabajaba individualmente.</w:t>
        <w:br w:type="textWrapping"/>
        <w:t xml:space="preserve">Una vez que se terminaba se subían los cambios y se notificaba para que cada quién estuviera al tanto de las actualizaciones. Al final se mezcló todo para unificar el proyecto y todo este proyecto se encuentra en la rama master.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1t3h5sf" w:id="10"/>
    <w:bookmarkEnd w:id="10"/>
    <w:p w:rsidR="00000000" w:rsidDel="00000000" w:rsidP="00000000" w:rsidRDefault="00000000" w:rsidRPr="00000000" w14:paraId="0000002E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Configuración del software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ff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https://github.com/maave-software/Maps2Go-1aIteracion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4d34og8" w:id="11"/>
    <w:bookmarkEnd w:id="11"/>
    <w:p w:rsidR="00000000" w:rsidDel="00000000" w:rsidP="00000000" w:rsidRDefault="00000000" w:rsidRPr="00000000" w14:paraId="00000035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para registrar de defectos por caso de uso en la integración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4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2"/>
        <w:gridCol w:w="1441"/>
        <w:gridCol w:w="1934"/>
        <w:gridCol w:w="2111"/>
        <w:gridCol w:w="2003"/>
        <w:tblGridChange w:id="0">
          <w:tblGrid>
            <w:gridCol w:w="1652"/>
            <w:gridCol w:w="1441"/>
            <w:gridCol w:w="1934"/>
            <w:gridCol w:w="2111"/>
            <w:gridCol w:w="2003"/>
          </w:tblGrid>
        </w:tblGridChange>
      </w:tblGrid>
      <w:tr>
        <w:tc>
          <w:tcPr/>
          <w:bookmarkStart w:colFirst="0" w:colLast="0" w:name="2s8eyo1" w:id="12"/>
          <w:bookmarkEnd w:id="12"/>
          <w:bookmarkStart w:colFirst="0" w:colLast="0" w:name="17dp8vu" w:id="13"/>
          <w:bookmarkEnd w:id="13"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caso de uso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 prueba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 del Caso de prueba 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Defecto identificado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Estado del defecto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Marcador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Valeria 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agrega marcadores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Sigue igual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 marcadores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Ángela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muestra los marcadores del tema.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Sigue igual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 temas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Valeria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 temas pero sin marcadores.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Sigue igual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Borrar informador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 Flores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muestra los informadores que se pueden eliminar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informador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 Flores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manda mensajes emergentes con los errores o éxitos.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redirige a la página principal una vez que se hace una acción. 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Sigue igual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de defectos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alibri"/>
  <w:font w:name="Playfair Display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Elaboró: </w:t>
      <w:tab/>
      <w:tab/>
      <w:t xml:space="preserve">            Valeria García Landa</w:t>
    </w:r>
  </w:p>
  <w:p w:rsidR="00000000" w:rsidDel="00000000" w:rsidP="00000000" w:rsidRDefault="00000000" w:rsidRPr="00000000" w14:paraId="0000007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Fecha de elaboración:</w:t>
      <w:tab/>
      <w:t xml:space="preserve">            31/03/2019</w:t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Versión:</w:t>
      <w:tab/>
      <w:tab/>
      <w:tab/>
      <w:t xml:space="preserve">Primera Iteración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5010150</wp:posOffset>
          </wp:positionH>
          <wp:positionV relativeFrom="paragraph">
            <wp:posOffset>-161924</wp:posOffset>
          </wp:positionV>
          <wp:extent cx="995363" cy="995363"/>
          <wp:effectExtent b="0" l="0" r="0" t="0"/>
          <wp:wrapSquare wrapText="bothSides" distB="114300" distT="114300" distL="114300" distR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5363" cy="9953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A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Equipo:</w:t>
      <w:tab/>
      <w:t xml:space="preserve">Maave    </w:t>
    </w:r>
  </w:p>
  <w:p w:rsidR="00000000" w:rsidDel="00000000" w:rsidP="00000000" w:rsidRDefault="00000000" w:rsidRPr="00000000" w14:paraId="0000006B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Sistema:</w:t>
      <w:tab/>
      <w:t xml:space="preserve">Maps2go</w:t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Iteración:</w:t>
      <w:tab/>
      <w:t xml:space="preserve">Primera Iteración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maave-software/Maps2Go-1aIteracion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PNzc5_ttp0bw0DGF8zuZyYq55Imw8oxAdKu8zFP4rTU/edit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FJc8BUKnkM6oWnF6NvBDZ0SDp9JsojS2Hbx5CSqHxsA/edit#" TargetMode="External"/><Relationship Id="rId8" Type="http://schemas.openxmlformats.org/officeDocument/2006/relationships/hyperlink" Target="https://docs.google.com/document/d/1SUSeYznaUsR0R8vALKltVB5ZJ95CAmP9uimsYRdAXrc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C-regular.ttf"/><Relationship Id="rId2" Type="http://schemas.openxmlformats.org/officeDocument/2006/relationships/font" Target="fonts/PlayfairDisplaySC-bold.ttf"/><Relationship Id="rId3" Type="http://schemas.openxmlformats.org/officeDocument/2006/relationships/font" Target="fonts/PlayfairDisplaySC-italic.ttf"/><Relationship Id="rId4" Type="http://schemas.openxmlformats.org/officeDocument/2006/relationships/font" Target="fonts/PlayfairDisplaySC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