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F3B5F"/>
          <w:sz w:val="36"/>
        </w:rPr>
        <w:t>Programa de contenidos basado en el deck</w:t>
      </w:r>
    </w:p>
    <w:p>
      <w:pPr>
        <w:pStyle w:val="Normal"/>
        <w:jc w:val="center"/>
        <w:rPr/>
      </w:pPr>
      <w:r>
        <w:rPr>
          <w:b/>
          <w:color w:val="0080A0"/>
          <w:sz w:val="56"/>
        </w:rPr>
        <w:t>¿Code / No-Code?</w:t>
      </w:r>
    </w:p>
    <w:p>
      <w:pPr>
        <w:pStyle w:val="Normal"/>
        <w:jc w:val="center"/>
        <w:rPr/>
      </w:pPr>
      <w:r>
        <w:rPr>
          <w:i/>
          <w:sz w:val="24"/>
        </w:rPr>
        <w:t>Extracción, limitaciones, hipótesis de contenido y programa editorial para análisis</w:t>
      </w:r>
    </w:p>
    <w:p>
      <w:pPr>
        <w:pStyle w:val="Normal"/>
        <w:jc w:val="center"/>
        <w:rPr/>
      </w:pPr>
      <w:r>
        <w:rPr>
          <w:b/>
        </w:rPr>
        <w:t>Preparado para: Mauricio Acuña</w:t>
      </w:r>
      <w:r>
        <w:rPr/>
        <w:br/>
        <w:t>Fecha: 13 de mayo de 2026</w:t>
      </w:r>
    </w:p>
    <w:p>
      <w:pPr>
        <w:pStyle w:val="Normal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EAF6F8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sz w:val="18"/>
              </w:rPr>
              <w:t>Nota de trazabilidad: se intentó abrir manualmente cada URL desde #1 hasta #16. Todas devolvieron la misma carcasa HTML: “This page requires JavaScript to display”, el título “¿Code / No-Code?” y el texto “Unpacking...”. Por tanto, el documento separa estrictamente lo recuperado de la página de las inferencias y propuestas editoriales.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ptos Display" w:hAnsi="Aptos Display"/>
          <w:color w:val="0F3B5F"/>
        </w:rPr>
        <w:t>1. Resumen ejecutivo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Hallazgo principal: </w:t>
      </w:r>
      <w:r>
        <w:rPr/>
        <w:t>el contenido real de las diapositivas no queda expuesto en el HTML textual recuperable; la página requiere ejecución de JavaScript.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Texto directamente recuperado: </w:t>
      </w:r>
      <w:r>
        <w:rPr/>
        <w:t>“This page requires JavaScript to display”, “¿Code / No-Code?” y “Unpacking...”.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Alcance de este documento: </w:t>
      </w:r>
      <w:r>
        <w:rPr/>
        <w:t>registro de extracción por cada diapositiva, programa de contenidos enriquecido, matriz de decisión code/low-code/no-code, propuesta de actividades y checklist de análisis.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Advertencia metodológica: </w:t>
      </w:r>
      <w:r>
        <w:rPr/>
        <w:t>no se debe presentar este documento como transcripción literal del deck original. Es un documento de análisis y reconstrucción editorial basada en los conceptos visibles y fuentes complementarias.</w:t>
      </w:r>
    </w:p>
    <w:p>
      <w:pPr>
        <w:pStyle w:val="Heading1"/>
        <w:rPr/>
      </w:pPr>
      <w:r>
        <w:rPr>
          <w:rFonts w:ascii="Aptos Display" w:hAnsi="Aptos Display"/>
          <w:color w:val="0F3B5F"/>
        </w:rPr>
        <w:t>2. Fuentes y datos disponibles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2.1 Fuente primaria solicitada</w:t>
      </w:r>
    </w:p>
    <w:p>
      <w:pPr>
        <w:pStyle w:val="Normal"/>
        <w:rPr/>
      </w:pPr>
      <w:r>
        <w:rPr>
          <w:b/>
        </w:rPr>
        <w:t xml:space="preserve">URL base: </w:t>
      </w:r>
      <w:r>
        <w:rPr/>
        <w:t>https://brianhume.dev/code-or-no-code#1 hasta #16</w:t>
      </w:r>
    </w:p>
    <w:p>
      <w:pPr>
        <w:pStyle w:val="Normal"/>
        <w:rPr/>
      </w:pPr>
      <w:r>
        <w:rPr>
          <w:b/>
        </w:rPr>
        <w:t xml:space="preserve">Resultado de recuperación: </w:t>
      </w:r>
      <w:r>
        <w:rPr/>
        <w:t>la página pública abre como una aplicación JavaScript y sólo expone texto mínimo en HTML. No se pudo extraer el contenido específico ni las imágenes reales de cada slide mediante lectura textual automatizada.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2.2 Fuentes externas usadas para enriquecer el programa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Fuente</w:t>
            </w:r>
          </w:p>
        </w:tc>
        <w:tc>
          <w:tcPr>
            <w:tcW w:w="3456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Uso en el programa</w:t>
            </w:r>
          </w:p>
        </w:tc>
        <w:tc>
          <w:tcPr>
            <w:tcW w:w="3456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URL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Google Cloud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Distingue code, low-code y no-code por perfil de usuario, interfaz, personalización y necesidades de integración; también enfatiza prototipado con IA generativa.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https://cloud.google.com/discover/low-code-vs-no-code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Microsoft Power Apps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Resume la diferencia práctica: low-code suele servir a profesionales IT con habilidades técnicas; no-code habilita a usuarios de negocio sin conocimiento de programación.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https://www.microsoft.com/en-gb/power-platform/products/power-apps/topics/low-code-no-code/low-code-no-code-development-platforms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SAP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Plantea no-code como complemento, no reemplazo, de estrategias tradicionales; subraya governance, seguridad, integración, escalabilidad y enfoque híbrido.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https://www.sap.com/netherlands/resources/guide-to-no-code-development</w:t>
            </w:r>
          </w:p>
        </w:tc>
      </w:tr>
      <w:tr>
        <w:trPr/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Binzer &amp; Winkler, INFORMATIK 2024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Marco académico sobre Citizen Development, low-code y no-code; advierte falta de claridad conceptual y necesidad de colaboración negocio-IT.</w:t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https://www.researchgate.net/publication/384239122_%27To_Code_or_Not_to_Code%27_Unpacking_the_Understanding_and_Difficulties_of_Citizen_Development_Programs</w:t>
            </w:r>
          </w:p>
        </w:tc>
      </w:tr>
    </w:tbl>
    <w:p>
      <w:pPr>
        <w:pStyle w:val="Heading1"/>
        <w:rPr/>
      </w:pPr>
      <w:r>
        <w:rPr>
          <w:rFonts w:ascii="Aptos Display" w:hAnsi="Aptos Display"/>
          <w:color w:val="0F3B5F"/>
        </w:rPr>
        <w:t>3. Registro de extracción diapositiva por diapositiva</w:t>
      </w:r>
    </w:p>
    <w:p>
      <w:pPr>
        <w:pStyle w:val="Normal"/>
        <w:rPr/>
      </w:pPr>
      <w:r>
        <w:rPr/>
        <w:t>El siguiente registro separa texto extraído, imágenes recuperadas e ideas observables. En todos los casos, la respuesta fue idéntica porque el contenido está detrás de JavaScript.</w:t>
      </w:r>
    </w:p>
    <w:tbl>
      <w:tblPr>
        <w:tblStyle w:val="TableGrid"/>
        <w:tblW w:w="1037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74"/>
        <w:gridCol w:w="2074"/>
        <w:gridCol w:w="2074"/>
        <w:gridCol w:w="2074"/>
        <w:gridCol w:w="2074"/>
      </w:tblGrid>
      <w:tr>
        <w:trPr/>
        <w:tc>
          <w:tcPr>
            <w:tcW w:w="2074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Slide</w:t>
            </w:r>
          </w:p>
        </w:tc>
        <w:tc>
          <w:tcPr>
            <w:tcW w:w="2074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URL</w:t>
            </w:r>
          </w:p>
        </w:tc>
        <w:tc>
          <w:tcPr>
            <w:tcW w:w="2074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Texto recuperado</w:t>
            </w:r>
          </w:p>
        </w:tc>
        <w:tc>
          <w:tcPr>
            <w:tcW w:w="2074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Imágenes recuperadas</w:t>
            </w:r>
          </w:p>
        </w:tc>
        <w:tc>
          <w:tcPr>
            <w:tcW w:w="2074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Ideas/observaciones verificables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#2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https://brianhume.dev/code-or-no-code#2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#3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https://brianhume.dev/code-or-no-code#3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#4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https://brianhume.dev/code-or-no-code#4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#5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https://brianhume.dev/code-or-no-code#5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#6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https://brianhume.dev/code-or-no-code#6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#7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https://brianhume.dev/code-or-no-code#7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#8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https://brianhume.dev/code-or-no-code#8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#9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https://brianhume.dev/code-or-no-code#9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#10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https://brianhume.dev/code-or-no-code#10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#11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https://brianhume.dev/code-or-no-code#11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#12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https://brianhume.dev/code-or-no-code#12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#13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https://brianhume.dev/code-or-no-code#13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#14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https://brianhume.dev/code-or-no-code#14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#15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https://brianhume.dev/code-or-no-code#15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  <w:tr>
        <w:trPr/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#16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https://brianhume.dev/code-or-no-code#16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This page requires JavaScript to display. / ¿Code / No-Code? / Unpacking...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 accesibles por lectura textual; no se obtuvieron archivos de imagen del deck.</w:t>
            </w:r>
          </w:p>
        </w:tc>
        <w:tc>
          <w:tcPr>
            <w:tcW w:w="2074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Tema verificable: presentación sobre Code / No-Code. El resto requiere inspección visual del deck renderizado o archivo fuente.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rFonts w:ascii="Aptos Display" w:hAnsi="Aptos Display"/>
          <w:color w:val="0F3B5F"/>
        </w:rPr>
        <w:t>4. Programa de contenidos propuesto</w:t>
      </w:r>
    </w:p>
    <w:p>
      <w:pPr>
        <w:pStyle w:val="Normal"/>
        <w:rPr/>
      </w:pPr>
      <w:r>
        <w:rPr/>
        <w:t>Estructura propuesta para convertir el deck en una sesión, taller o documento educativo. Está organizada en 16 unidades para mapear una unidad por cada diapositiva solicitada.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Unidad</w:t>
            </w:r>
          </w:p>
        </w:tc>
        <w:tc>
          <w:tcPr>
            <w:tcW w:w="2592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Tema</w:t>
            </w:r>
          </w:p>
        </w:tc>
        <w:tc>
          <w:tcPr>
            <w:tcW w:w="2592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Idea núcleo</w:t>
            </w:r>
          </w:p>
        </w:tc>
        <w:tc>
          <w:tcPr>
            <w:tcW w:w="2591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Actividad sugerida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Pregunta central: ¿code o no-code?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Plantear que la decisión no es ideológica: depende de objetivo, riesgo, escala, propiedad técnica y horizonte de vida.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Discusión guiada: elegir herramienta para tres casos breves.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Taxonomía: no-code, low-code, pro-code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Diferenciar interfaz visual, bloques + código y desarrollo tradicional. Introducir la idea de continuo, no de categorías absolutas.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Mapa comparativo en pizarra.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Quién construye: negocio, IT, producto y expertos de dominio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No-code favorece a usuarios de negocio; low-code a desarrolladores o perfiles híbridos; pro-code a equipos técnicos con necesidad de control.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Matriz persona vs responsabilidad.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Velocidad inicial y time-to-value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Explicar cuándo la velocidad justifica restricciones: prototipos, validación, automatización interna, MVPs acotados.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Ejercicio: estimar time-to-value de una app interna.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Prototipo vs producción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Separar demo funcional, piloto operativo y sistema productivo. Un prototipo no prueba escalabilidad, seguridad ni mantenibilidad.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Checklist de paso a producción.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IA como interfaz de construcción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La IA generativa reduce fricción de ideación, prototipado y debugging, pero no elimina diseño, control de calidad ni responsabilidad técnica.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Prompts para convertir una necesidad en flujo funcional.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Datos, APIs e integración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El límite real suele estar en integración con sistemas existentes, datos, autenticación, permisos y contratos de API.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Dibujar mapa de integraciones de un caso.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Gobernanza y shadow IT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El no-code puede reducir o aumentar shadow IT según exista catálogo, guardrails, ownership y revisión de IT.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Definir política mínima de citizen development.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Seguridad y compliance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Revisar identidad, roles, auditoría, cifrado, datos sensibles, trazabilidad, retención y segregación de ambientes.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Threat modeling rápido con STRIDE simplificado.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10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Personalización y escape hatches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No-code es potente dentro de sus límites; low-code/pro-code son necesarios para lógica especializada, UI compleja, performance o integraciones no estándar.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Inventario de limitaciones de plataforma.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11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Escalabilidad, performance y operabilidad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Evaluar SLAs, límites de plataforma, observabilidad, monitoreo, costos por uso, backups y recuperación.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Diseñar SLI/SLO simples para una app no-code.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12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Vendor lock-in y portabilidad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Analizar exportabilidad de datos, dependencia del runtime, modelo de precios, conectores propietarios y estrategia de salida.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Crear plan de salida de una plataforma.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13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Costo total de propiedad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Comparar licencias, horas de desarrollo, soporte, capacitación, deuda técnica, migración futura y riesgo operacional.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Modelo TCO de una página.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14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Modelo operativo híbrido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Proponer colaboración negocio-IT: plantillas, revisiones, componentes aprobados, centros de excelencia y rutas de escalamiento.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Diseñar un operating model ligero.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15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Matriz de decisión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Construir una matriz ponderada: usuario, complejidad, seguridad, integración, ciclo de vida, escala, costo y reversibilidad.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Aplicar scoring a tres iniciativas reales.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16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Cierre: regla práctica y roadmap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Elegir la solución más simple que entregue valor, con camino de evolución y opción de salida. Definir próximos pasos.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Plan 30-60-90 días para adopción responsable.</w:t>
            </w:r>
          </w:p>
        </w:tc>
      </w:tr>
    </w:tbl>
    <w:p>
      <w:pPr>
        <w:pStyle w:val="Heading1"/>
        <w:rPr/>
      </w:pPr>
      <w:r>
        <w:rPr>
          <w:rFonts w:ascii="Aptos Display" w:hAnsi="Aptos Display"/>
          <w:color w:val="0F3B5F"/>
        </w:rPr>
        <w:t>5. Desarrollo detallado de las 16 unidades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1. Pregunta central: ¿code o no-code?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Plantear que la decisión no es ideológica: depende de objetivo, riesgo, escala, propiedad técnica y horizonte de vida.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Discusión guiada: elegir herramienta para tres casos breves.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2. Taxonomía: no-code, low-code, pro-code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Diferenciar interfaz visual, bloques + código y desarrollo tradicional. Introducir la idea de continuo, no de categorías absolutas.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Mapa comparativo en pizarra.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3. Quién construye: negocio, IT, producto y expertos de dominio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No-code favorece a usuarios de negocio; low-code a desarrolladores o perfiles híbridos; pro-code a equipos técnicos con necesidad de control.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Matriz persona vs responsabilidad.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4. Velocidad inicial y time-to-value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Explicar cuándo la velocidad justifica restricciones: prototipos, validación, automatización interna, MVPs acotados.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Ejercicio: estimar time-to-value de una app interna.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5. Prototipo vs producción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Separar demo funcional, piloto operativo y sistema productivo. Un prototipo no prueba escalabilidad, seguridad ni mantenibilidad.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Checklist de paso a producción.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6. IA como interfaz de construcción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La IA generativa reduce fricción de ideación, prototipado y debugging, pero no elimina diseño, control de calidad ni responsabilidad técnica.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Prompts para convertir una necesidad en flujo funcional.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7. Datos, APIs e integración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El límite real suele estar en integración con sistemas existentes, datos, autenticación, permisos y contratos de API.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Dibujar mapa de integraciones de un caso.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8. Gobernanza y shadow IT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El no-code puede reducir o aumentar shadow IT según exista catálogo, guardrails, ownership y revisión de IT.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Definir política mínima de citizen development.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9. Seguridad y compliance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Revisar identidad, roles, auditoría, cifrado, datos sensibles, trazabilidad, retención y segregación de ambientes.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Threat modeling rápido con STRIDE simplificado.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10. Personalización y escape hatches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No-code es potente dentro de sus límites; low-code/pro-code son necesarios para lógica especializada, UI compleja, performance o integraciones no estándar.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Inventario de limitaciones de plataforma.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11. Escalabilidad, performance y operabilidad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Evaluar SLAs, límites de plataforma, observabilidad, monitoreo, costos por uso, backups y recuperación.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Diseñar SLI/SLO simples para una app no-code.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12. Vendor lock-in y portabilidad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Analizar exportabilidad de datos, dependencia del runtime, modelo de precios, conectores propietarios y estrategia de salida.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Crear plan de salida de una plataforma.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13. Costo total de propiedad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Comparar licencias, horas de desarrollo, soporte, capacitación, deuda técnica, migración futura y riesgo operacional.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Modelo TCO de una página.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14. Modelo operativo híbrido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Proponer colaboración negocio-IT: plantillas, revisiones, componentes aprobados, centros de excelencia y rutas de escalamiento.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Diseñar un operating model ligero.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15. Matriz de decisión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Construir una matriz ponderada: usuario, complejidad, seguridad, integración, ciclo de vida, escala, costo y reversibilidad.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Aplicar scoring a tres iniciativas reales.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2"/>
        <w:rPr/>
      </w:pPr>
      <w:r>
        <w:rPr>
          <w:rFonts w:ascii="Aptos Display" w:hAnsi="Aptos Display"/>
          <w:color w:val="185A76"/>
        </w:rPr>
        <w:t>Unidad 16. Cierre: regla práctica y roadmap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Objetivo: </w:t>
      </w:r>
      <w:r>
        <w:rPr/>
        <w:t>Elegir la solución más simple que entregue valor, con camino de evolución y opción de salida. Definir próximos pasos.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Idea visual sugerida: </w:t>
      </w:r>
      <w:r>
        <w:rPr/>
        <w:t>composición editorial simple con una pregunta, una matriz o un diagrama de flujo; evitar logos de proveedores salvo que el material sea comparativo y con permisos.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Actividad de trabajo: </w:t>
      </w:r>
      <w:r>
        <w:rPr/>
        <w:t>Plan 30-60-90 días para adopción responsable.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Resultado esperado: </w:t>
      </w:r>
      <w:r>
        <w:rPr/>
        <w:t>una decisión explícita, documentada y reversible, no una preferencia tecnológica disfrazada de estrategia.</w:t>
      </w:r>
    </w:p>
    <w:p>
      <w:pPr>
        <w:pStyle w:val="Heading1"/>
        <w:rPr/>
      </w:pPr>
      <w:r>
        <w:rPr>
          <w:rFonts w:ascii="Aptos Display" w:hAnsi="Aptos Display"/>
          <w:color w:val="0F3B5F"/>
        </w:rPr>
        <w:t>6. Matriz de decisión para análisis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92"/>
        <w:gridCol w:w="2592"/>
        <w:gridCol w:w="2592"/>
        <w:gridCol w:w="2591"/>
      </w:tblGrid>
      <w:tr>
        <w:trPr/>
        <w:tc>
          <w:tcPr>
            <w:tcW w:w="2592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2592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No-code</w:t>
            </w:r>
          </w:p>
        </w:tc>
        <w:tc>
          <w:tcPr>
            <w:tcW w:w="2592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Low-code</w:t>
            </w:r>
          </w:p>
        </w:tc>
        <w:tc>
          <w:tcPr>
            <w:tcW w:w="2591" w:type="dxa"/>
            <w:tcBorders/>
            <w:shd w:fill="0F3B5F"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Pro-code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Perfil constructor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Usuarios de negocio / expertos de dominio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Perfiles técnicos, IT o builders híbridos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Desarrolladores profesionales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Velocidad inicial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Muy alta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Alta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Media/baja según complejidad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Control técnico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Limitado por plataforma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Medio/alto con extensiones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Máximo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Integración compleja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Riesgo alto si faltan conectores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Viable con código y conectores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Viable con mayor esfuerzo y control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Escala y performance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Depende del proveedor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Depende del diseño y plataforma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Diseñable a medida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Gobernanza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Crítica para evitar shadow IT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Crítica, pero más integrable con IT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Propia del ciclo SDLC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Mantenibilidad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Buena si es simple y documentado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Buena si hay ownership técnico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Buena sólo con disciplina de ingeniería</w:t>
            </w:r>
          </w:p>
        </w:tc>
      </w:tr>
      <w:tr>
        <w:trPr/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Salida/portabilidad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Suele ser el mayor riesgo</w:t>
            </w:r>
          </w:p>
        </w:tc>
        <w:tc>
          <w:tcPr>
            <w:tcW w:w="2592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Riesgo medio</w:t>
            </w:r>
          </w:p>
        </w:tc>
        <w:tc>
          <w:tcPr>
            <w:tcW w:w="2591" w:type="dxa"/>
            <w:tcBorders/>
          </w:tcPr>
          <w:p>
            <w:pPr>
              <w:pStyle w:val="Normal"/>
              <w:widowControl/>
              <w:spacing w:lineRule="auto" w:line="240"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Cs w:val="22"/>
                <w:lang w:val="en-US" w:eastAsia="en-US" w:bidi="ar-SA"/>
              </w:rPr>
              <w:t>Mejor control, pero no gratis</w:t>
            </w:r>
          </w:p>
        </w:tc>
      </w:tr>
    </w:tbl>
    <w:p>
      <w:pPr>
        <w:pStyle w:val="Heading1"/>
        <w:rPr/>
      </w:pPr>
      <w:r>
        <w:rPr>
          <w:rFonts w:ascii="Aptos Display" w:hAnsi="Aptos Display"/>
          <w:color w:val="0F3B5F"/>
        </w:rPr>
        <w:t>7. Checklist de gobernanza mínima</w:t>
      </w:r>
    </w:p>
    <w:p>
      <w:pPr>
        <w:pStyle w:val="ListBullet"/>
        <w:numPr>
          <w:ilvl w:val="0"/>
          <w:numId w:val="1"/>
        </w:numPr>
        <w:rPr/>
      </w:pPr>
      <w:r>
        <w:rPr/>
        <w:t>Definir qué tipos de soluciones pueden construirse con no-code sin aprobación previa.</w:t>
      </w:r>
    </w:p>
    <w:p>
      <w:pPr>
        <w:pStyle w:val="ListBullet"/>
        <w:numPr>
          <w:ilvl w:val="0"/>
          <w:numId w:val="1"/>
        </w:numPr>
        <w:rPr/>
      </w:pPr>
      <w:r>
        <w:rPr/>
        <w:t>Clasificar datos: públicos, internos, confidenciales, regulados o sensibles.</w:t>
      </w:r>
    </w:p>
    <w:p>
      <w:pPr>
        <w:pStyle w:val="ListBullet"/>
        <w:numPr>
          <w:ilvl w:val="0"/>
          <w:numId w:val="1"/>
        </w:numPr>
        <w:rPr/>
      </w:pPr>
      <w:r>
        <w:rPr/>
        <w:t>Establecer owner funcional y owner técnico para cada aplicación.</w:t>
      </w:r>
    </w:p>
    <w:p>
      <w:pPr>
        <w:pStyle w:val="ListBullet"/>
        <w:numPr>
          <w:ilvl w:val="0"/>
          <w:numId w:val="1"/>
        </w:numPr>
        <w:rPr/>
      </w:pPr>
      <w:r>
        <w:rPr/>
        <w:t>Documentar propósito, usuarios, datos, integraciones, permisos y dependencias.</w:t>
      </w:r>
    </w:p>
    <w:p>
      <w:pPr>
        <w:pStyle w:val="ListBullet"/>
        <w:numPr>
          <w:ilvl w:val="0"/>
          <w:numId w:val="1"/>
        </w:numPr>
        <w:rPr/>
      </w:pPr>
      <w:r>
        <w:rPr/>
        <w:t>Exigir revisión de seguridad para apps con datos sensibles, integraciones externas o usuarios masivos.</w:t>
      </w:r>
    </w:p>
    <w:p>
      <w:pPr>
        <w:pStyle w:val="ListBullet"/>
        <w:numPr>
          <w:ilvl w:val="0"/>
          <w:numId w:val="1"/>
        </w:numPr>
        <w:rPr/>
      </w:pPr>
      <w:r>
        <w:rPr/>
        <w:t>Mantener inventario de aplicaciones y automatizaciones creadas por citizen developers.</w:t>
      </w:r>
    </w:p>
    <w:p>
      <w:pPr>
        <w:pStyle w:val="ListBullet"/>
        <w:numPr>
          <w:ilvl w:val="0"/>
          <w:numId w:val="1"/>
        </w:numPr>
        <w:rPr/>
      </w:pPr>
      <w:r>
        <w:rPr/>
        <w:t>Definir criterios de promoción: prototipo -&gt; piloto -&gt; producción -&gt; reimplementación pro-code.</w:t>
      </w:r>
    </w:p>
    <w:p>
      <w:pPr>
        <w:pStyle w:val="ListBullet"/>
        <w:numPr>
          <w:ilvl w:val="0"/>
          <w:numId w:val="1"/>
        </w:numPr>
        <w:rPr/>
      </w:pPr>
      <w:r>
        <w:rPr/>
        <w:t>Crear estrategia de salida: exportación de datos, reemplazo de conectores y plan de continuidad.</w:t>
      </w:r>
    </w:p>
    <w:p>
      <w:pPr>
        <w:pStyle w:val="Heading1"/>
        <w:rPr/>
      </w:pPr>
      <w:r>
        <w:rPr>
          <w:rFonts w:ascii="Aptos Display" w:hAnsi="Aptos Display"/>
          <w:color w:val="0F3B5F"/>
        </w:rPr>
        <w:t>8. Guía para enriquecer las diapositivas originales cuando se obtenga acceso visual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Capturar evidencia: </w:t>
      </w:r>
      <w:r>
        <w:rPr/>
        <w:t>exportar el deck a PDF o PNG por diapositiva para preservar texto, imágenes y notas visuales.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Extraer contenido: </w:t>
      </w:r>
      <w:r>
        <w:rPr/>
        <w:t>usar OCR/lectura visual sólo como respaldo y validar manualmente títulos, bullets, diagramas y captions.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Normalizar: </w:t>
      </w:r>
      <w:r>
        <w:rPr/>
        <w:t>separar texto literal, descripción visual e inferencia editorial.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Cruzar con programa: </w:t>
      </w:r>
      <w:r>
        <w:rPr/>
        <w:t>mapear cada slide real contra una de las 16 unidades propuestas y ajustar la secuencia.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 xml:space="preserve">Identificar gaps: </w:t>
      </w:r>
      <w:r>
        <w:rPr/>
        <w:t>buscar dónde faltan seguridad, integración, costos, gobernanza, ownership o estrategia de salida.</w:t>
      </w:r>
    </w:p>
    <w:p>
      <w:pPr>
        <w:pStyle w:val="Heading1"/>
        <w:rPr/>
      </w:pPr>
      <w:r>
        <w:rPr>
          <w:rFonts w:ascii="Aptos Display" w:hAnsi="Aptos Display"/>
          <w:color w:val="0F3B5F"/>
        </w:rPr>
        <w:t>9. Conclusión operativa</w:t>
      </w:r>
    </w:p>
    <w:p>
      <w:pPr>
        <w:pStyle w:val="Normal"/>
        <w:rPr/>
      </w:pPr>
      <w:r>
        <w:rPr/>
        <w:t>La idea central del programa no debería ser “no-code reemplaza al código” ni “el código siempre es superior”. Ambas posiciones son malas abstracciones. La decisión correcta depende de contexto: quién construye, qué riesgo se asume, qué integración exige el caso, cuánto tiempo vivirá la solución, qué datos procesa y qué salida existe si la plataforma deja de encajar.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Para análisis profesional, conviene usar el deck como disparador y convertirlo en un marco de decisión: empezar por valor y restricciones, no por herramienta.</w:t>
      </w:r>
    </w:p>
    <w:sectPr>
      <w:footerReference w:type="default" r:id="rId2"/>
      <w:type w:val="nextPage"/>
      <w:pgSz w:w="12240" w:h="15840"/>
      <w:pgMar w:left="936" w:right="936" w:gutter="0" w:header="0" w:top="864" w:footer="72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Display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>Programa de contenidos ¿Code / No-Code? — documento de análisis, no transcripción literal del deck original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LibreOffice/7.6.4.1$Windows_X86_64 LibreOffice_project/e19e193f88cd6c0525a17fb7a176ed8e6a3e2aa1</Application>
  <AppVersion>15.0000</AppVersion>
  <Pages>13</Pages>
  <Words>3289</Words>
  <Characters>20519</Characters>
  <CharactersWithSpaces>23404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