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8"/>
          <w:szCs w:val="48"/>
        </w:rPr>
        <w:t>SysGran 4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SysGran é um sistema integrado para análises granulométricas lançado pela primeira vez em 1997, capaz de analisar centenas de amostras instantaneamente através de vários métodos e de gerar vários tipos de gráficos, sendo, ao mesmo tempo, fácil de usar.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SysGran adere à licença GNU, com codigo aberto e livre para modificações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SysGran 4 é uma atualização do programa </w:t>
      </w:r>
      <w:r>
        <w:rPr>
          <w:rFonts w:cs="Times New Roman" w:ascii="Times New Roman" w:hAnsi="Times New Roman"/>
          <w:sz w:val="24"/>
          <w:szCs w:val="24"/>
        </w:rPr>
        <w:t>em</w:t>
      </w:r>
      <w:r>
        <w:rPr>
          <w:rFonts w:cs="Times New Roman" w:ascii="Times New Roman" w:hAnsi="Times New Roman"/>
          <w:sz w:val="24"/>
          <w:szCs w:val="24"/>
        </w:rPr>
        <w:t xml:space="preserve"> 2022, lançado em Windows 7/8/10/11 e Linux. As fontes do programa (Lazarus Freepascal) e o download dos executáveis estão disponibilizad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s em: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https://github.com/mauricio-camargo/sysgran4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>CITAÇÃO: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>Camargo, M.G. 2006. SysGran: um sistema de código aberto para análises granulométricas do sedimento. Revista Brasileira de Geociências, v. 345, p. 345-352.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H1ns"/>
        <w:bidi w:val="0"/>
        <w:spacing w:lineRule="atLeast" w:line="240"/>
        <w:ind w:left="0" w:right="144" w:hanging="0"/>
        <w:jc w:val="center"/>
        <w:rPr/>
      </w:pPr>
      <w:r>
        <w:rPr>
          <w:sz w:val="40"/>
          <w:szCs w:val="40"/>
        </w:rPr>
        <w:t>Planilhas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O SysGran é capaz de ler e gravar diretamente planilhas do Excel mais modernas (xlsx).</w:t>
      </w:r>
    </w:p>
    <w:p>
      <w:pPr>
        <w:pStyle w:val="Normal"/>
        <w:bidi w:val="0"/>
        <w:spacing w:lineRule="atLeast" w:line="240"/>
        <w:ind w:left="180" w:right="144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As planilhas de entrada devem ser arranjadas da seguinte maneira para serem analisadas pelo SysGran: a primeira linha deve conter as classes de Phi e na primeira coluna o nome das amostras. O número máximo de classes granulométricas (Phi) permitido é 255. O número máximo e amostras é de 16384. 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Exemplo: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633" w:type="dxa"/>
        <w:jc w:val="left"/>
        <w:tblInd w:w="-107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68"/>
        <w:gridCol w:w="965"/>
        <w:gridCol w:w="963"/>
        <w:gridCol w:w="964"/>
        <w:gridCol w:w="993"/>
        <w:gridCol w:w="994"/>
        <w:gridCol w:w="994"/>
        <w:gridCol w:w="991"/>
      </w:tblGrid>
      <w:tr>
        <w:trPr/>
        <w:tc>
          <w:tcPr>
            <w:tcW w:w="176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-1,0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-0,5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0,5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1,0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1,5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...</w:t>
            </w:r>
          </w:p>
        </w:tc>
      </w:tr>
      <w:tr>
        <w:trPr/>
        <w:tc>
          <w:tcPr>
            <w:tcW w:w="1768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Amostra 1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0,76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0,90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1,65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15,87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768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Amostra 2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0,84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1,5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2,8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6,76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22,54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768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Amostra 3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1,23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2,1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5,32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12,87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18,65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768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Amostra 4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0,23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04,76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8,65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16,43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12,45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768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/>
              <w:t>...</w:t>
            </w:r>
          </w:p>
        </w:tc>
        <w:tc>
          <w:tcPr>
            <w:tcW w:w="965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b/>
          <w:bCs/>
        </w:rPr>
        <w:t xml:space="preserve">IMPORTANTE: </w:t>
      </w:r>
      <w:r>
        <w:rPr/>
        <w:t>O SysGran reconhece o fim da sequência de amostras e classes a partir da primeira célula em branco. Portanto, não deixe nenhuma linha ou coluna em branco no bloco a ser analisado. Nesta versão foi incorporado um verificador da compatibilidade da planilha, no menu “Checar planilha”.</w:t>
      </w:r>
    </w:p>
    <w:p>
      <w:pPr>
        <w:pStyle w:val="H1ns"/>
        <w:bidi w:val="0"/>
        <w:spacing w:lineRule="atLeast" w:line="240"/>
        <w:ind w:left="180" w:right="144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1Link"/>
        <w:bidi w:val="0"/>
        <w:spacing w:lineRule="atLeast" w:line="240"/>
        <w:ind w:left="180" w:right="144" w:hanging="0"/>
        <w:rPr/>
      </w:pPr>
      <w:r>
        <w:rPr/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0"/>
          <w:szCs w:val="40"/>
        </w:rPr>
        <w:t>Multi-análise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Cinco métodos gráficos de análise podem ser usados: Folk &amp; Ward, McCammon (a), McCAmmon (b), Trask , Otto &amp; Inman, e um não  gráfico (algébrico),  a Medida dos Momentos, sendo padrão o primeiro. A seção </w:t>
      </w:r>
      <w:r>
        <w:rPr>
          <w:rFonts w:cs="Times New Roman" w:ascii="Times New Roman" w:hAnsi="Times New Roman"/>
          <w:sz w:val="24"/>
          <w:szCs w:val="24"/>
          <w:u w:val="double"/>
        </w:rPr>
        <w:t>Métodos de análise</w:t>
      </w:r>
      <w:r>
        <w:rPr>
          <w:rFonts w:cs="Times New Roman" w:ascii="Times New Roman" w:hAnsi="Times New Roman"/>
          <w:vanish/>
          <w:sz w:val="24"/>
          <w:szCs w:val="24"/>
        </w:rPr>
        <w:t>Metodos</w:t>
      </w:r>
      <w:r>
        <w:rPr>
          <w:rFonts w:cs="Times New Roman" w:ascii="Times New Roman" w:hAnsi="Times New Roman"/>
          <w:sz w:val="24"/>
          <w:szCs w:val="24"/>
        </w:rPr>
        <w:t xml:space="preserve">  apresenta informações técnicas sobre cada método e suas respectivas eficiências.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A análise em si pode conter apenas valores da média, seleção, mediana, curtose, assimetria, % de areia, % de argila e % de silte, ou incluir classificações verbais e percentis (de 03% até 97%). Pode-se igualmente apenas listar os valores da curva acumulada, representados pelas classes Phi,  percentagem de cada classe e percentagem acumulada. 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0"/>
          <w:szCs w:val="40"/>
        </w:rPr>
        <w:t>Métodos de análise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Informações sobre os métodos gráficos de análise (Suguio, 1973).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tbl>
      <w:tblPr>
        <w:tblW w:w="10031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977"/>
        <w:gridCol w:w="850"/>
        <w:gridCol w:w="3829"/>
        <w:gridCol w:w="851"/>
      </w:tblGrid>
      <w:tr>
        <w:trPr/>
        <w:tc>
          <w:tcPr>
            <w:tcW w:w="152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Método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Média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E*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Seleção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E</w:t>
            </w:r>
            <w:r>
              <w:rPr>
                <w:rFonts w:cs="Times New Roman" w:ascii="Times New Roman" w:hAnsi="Times New Roman"/>
                <w:b/>
                <w:bCs/>
                <w:vertAlign w:val="superscript"/>
              </w:rPr>
              <w:t>+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Folk e Ward (1967)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(p16+p50+p84)/3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88%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(p84-p16)/4 + (p95-p5)/6,6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79%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McCammon (1962a)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(p10+p30+p50+p70+p90)/5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93%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(p85+p95-p5-p15)/5,4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79%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McCammon (1962b)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(p5+p15+p25+...+p85+p95)/10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97%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(p70+p80+p90+p97-p3-p10-p20-p30)/9,1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87%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Trask (1930)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p50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64%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(p75-p25)/1,35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s-ES_tradnl"/>
              </w:rPr>
            </w:pPr>
            <w:r>
              <w:rPr>
                <w:rFonts w:cs="Times New Roman" w:ascii="Times New Roman" w:hAnsi="Times New Roman"/>
                <w:lang w:val="es-ES_tradnl"/>
              </w:rPr>
              <w:t>37%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s-ES_tradnl"/>
              </w:rPr>
            </w:pPr>
            <w:r>
              <w:rPr>
                <w:rFonts w:cs="Times New Roman" w:ascii="Times New Roman" w:hAnsi="Times New Roman"/>
                <w:lang w:val="es-ES_tradnl"/>
              </w:rPr>
              <w:t>Otto(1939) e Inman(1952)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s-ES_tradnl"/>
              </w:rPr>
            </w:pPr>
            <w:r>
              <w:rPr>
                <w:rFonts w:cs="Times New Roman" w:ascii="Times New Roman" w:hAnsi="Times New Roman"/>
                <w:lang w:val="es-ES_tradnl"/>
              </w:rPr>
              <w:t>(p16+p84)/2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74%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(p84-p16)/2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54%</w:t>
            </w:r>
          </w:p>
        </w:tc>
      </w:tr>
    </w:tbl>
    <w:p>
      <w:pPr>
        <w:pStyle w:val="Normal"/>
        <w:widowControl w:val="false"/>
        <w:bidi w:val="0"/>
        <w:spacing w:lineRule="atLeast" w:line="240"/>
        <w:ind w:left="180" w:right="144" w:hanging="0"/>
        <w:rPr/>
      </w:pPr>
      <w:r>
        <w:rPr/>
        <w:t>E* = Eficiência dos métodos por McCammon (1962)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>E</w:t>
      </w:r>
      <w:r>
        <w:rPr>
          <w:vertAlign w:val="superscript"/>
        </w:rPr>
        <w:t>+</w:t>
      </w:r>
      <w:r>
        <w:rPr/>
        <w:t xml:space="preserve"> = Eficiência dos métodos por Folk (1966)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tbl>
      <w:tblPr>
        <w:tblW w:w="861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5670"/>
        <w:gridCol w:w="1844"/>
      </w:tblGrid>
      <w:tr>
        <w:trPr/>
        <w:tc>
          <w:tcPr>
            <w:tcW w:w="10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Método</w:t>
            </w:r>
          </w:p>
        </w:tc>
        <w:tc>
          <w:tcPr>
            <w:tcW w:w="567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Assimetria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Curtose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/>
            </w:pPr>
            <w:r>
              <w:rPr>
                <w:rFonts w:cs="Times New Roman" w:ascii="Times New Roman" w:hAnsi="Times New Roman"/>
              </w:rPr>
              <w:t>Todos acima</w:t>
            </w:r>
          </w:p>
        </w:tc>
        <w:tc>
          <w:tcPr>
            <w:tcW w:w="5670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((p16+p84-2*p50)/(2*p84-p16)) + ((p5+p95-2*p50)/(2*p95-p5))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bidi w:val="0"/>
              <w:spacing w:lineRule="atLeast" w:line="240" w:before="40" w:after="60"/>
              <w:ind w:left="0" w:right="144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(p95-p05) / (2,44*(p75-p25))</w:t>
            </w:r>
          </w:p>
        </w:tc>
      </w:tr>
    </w:tbl>
    <w:p>
      <w:pPr>
        <w:pStyle w:val="Normal"/>
        <w:widowControl w:val="false"/>
        <w:bidi w:val="0"/>
        <w:spacing w:lineRule="atLeast" w:line="240"/>
        <w:ind w:left="180" w:right="144"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40"/>
        <w:ind w:left="180" w:right="144"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O método algébrico </w:t>
      </w:r>
      <w:r>
        <w:rPr>
          <w:rFonts w:cs="Times New Roman" w:ascii="Times New Roman" w:hAnsi="Times New Roman"/>
          <w:b/>
          <w:bCs/>
          <w:sz w:val="24"/>
          <w:szCs w:val="24"/>
        </w:rPr>
        <w:t>Medida dos Momentos</w:t>
      </w:r>
      <w:r>
        <w:rPr>
          <w:rFonts w:cs="Times New Roman" w:ascii="Times New Roman" w:hAnsi="Times New Roman"/>
          <w:sz w:val="24"/>
          <w:szCs w:val="24"/>
        </w:rPr>
        <w:t xml:space="preserve"> foi extraído de TANNER (1995). </w:t>
      </w:r>
    </w:p>
    <w:p>
      <w:pPr>
        <w:pStyle w:val="H1ns"/>
        <w:bidi w:val="0"/>
        <w:spacing w:lineRule="atLeast" w:line="240"/>
        <w:ind w:left="180" w:right="14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1Link"/>
        <w:bidi w:val="0"/>
        <w:spacing w:lineRule="atLeast" w:line="240"/>
        <w:ind w:left="180" w:right="144" w:hanging="0"/>
        <w:rPr/>
      </w:pPr>
      <w:r>
        <w:rPr/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0"/>
          <w:szCs w:val="40"/>
        </w:rPr>
        <w:t>Multi-gráficos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Exceção aos histogramas, todos os outros gráficos podem ser plotados para mais de uma amostra: gráficos de freqüência acumulada (até 10),  Diagramas de Shepard e de Pejrup (ilimitado), gráficos em escala de probabilidade (até 10) e gráficos bivariados (ilimitado). 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O limite de amostras para os Diagramas de Shepard e de Pejrup é o mesmo do número máximo de amostras (16384); porém, muitas amostras simultâneas podem gerar um gráfico confuso e por isso o tamanho dos pontos pode ser controlado pelo usuário. Os plots nos Diagramas são mostrados em azul, de acordo com uma simbologia especial. Triângulos representam a quantidade de grânulos na amostra, que é a quarta variável. Quando esta quantidade é muito pequena (&lt; 3%), o triângulo também é pequeno e não aparece, sendo substituído por um círculo.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Todos os gráficos podem ser salvos em formato JPG,PNG e BMP ou copiados para o Clipboard e transferidos para outros programas.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O Diagrama Triangular de Pejrup constitui uma maneira de se avaliar as condições hidrodinâmicas dos locais onde as amostras foram tomadas (Pejrup, 1988).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36"/>
          <w:szCs w:val="36"/>
        </w:rPr>
        <w:t>Informações sobre o SysGran 4 e contatos com o autor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 xml:space="preserve">O SysGran foi inicialmente desenvolvido em 16 bits (Windows 3.1) em 1997 para atender à demanda por um programa eficiente de análises granulométricas, capaz de analisar várias amostras simultaneamente e rico em opções gráficas. 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 xml:space="preserve">Os algoritmos das análises foram desenvolvidos a partir das fórmulas fornecidas por Suguio (1973), Gale &amp; Hoare (1991) e Tanner (1995). 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>Contato com o autor: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>Maurício Garcia de Camargo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  <w:t>E-Mail: camargofurg@gmail.com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0"/>
          <w:szCs w:val="40"/>
        </w:rPr>
        <w:t>Referências bibliográficas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/>
      </w:r>
    </w:p>
    <w:p>
      <w:pPr>
        <w:pStyle w:val="Normal"/>
        <w:bidi w:val="0"/>
        <w:spacing w:lineRule="atLeast" w:line="240"/>
        <w:ind w:left="180" w:right="144" w:hanging="0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- PEJRUP,M. 1988. The triangular diagram used for classification of estuarine sediments: a new approach. in: Tide-influenced sedimentary environments and facies. BOER, P.L. ; GELDER, A. &amp; NIO, S.D. (Eds). D. Reidel Publishing Company. </w:t>
      </w:r>
      <w:r>
        <w:rPr>
          <w:rFonts w:cs="Times New Roman" w:ascii="Times New Roman" w:hAnsi="Times New Roman"/>
          <w:sz w:val="24"/>
          <w:szCs w:val="24"/>
        </w:rPr>
        <w:t xml:space="preserve">Holland. 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SUGUIO, K. 1973. Introdução à sedimentologia. EDUSP. 317 pp.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- TANNER, W.F. 1995. </w:t>
      </w:r>
      <w:r>
        <w:rPr>
          <w:rFonts w:cs="Times New Roman" w:ascii="Times New Roman" w:hAnsi="Times New Roman"/>
          <w:sz w:val="24"/>
          <w:szCs w:val="24"/>
          <w:lang w:val="en-US"/>
        </w:rPr>
        <w:t>Environmental clastic granulometry. Florida Geological Survey, Special Publication No 40. 142 pp.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- GALE, S.J. &amp; HOARE, P.G. 1991. Quaternary Sediments: petrographic methods for the study of unlithified rocks. </w:t>
      </w:r>
      <w:r>
        <w:rPr>
          <w:rFonts w:cs="Times New Roman" w:ascii="Times New Roman" w:hAnsi="Times New Roman"/>
          <w:sz w:val="24"/>
          <w:szCs w:val="24"/>
        </w:rPr>
        <w:t>Belhaven Press. 323 pp.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0"/>
          <w:szCs w:val="40"/>
        </w:rPr>
        <w:t>Colaboradores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O desenvolvimento do SysGran original contou com as seguintes colaborações iniciais: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Anderson A. Pelanda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Beta, alfa e gama tester.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Layout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Kassio Rios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BMP da tela inicial.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Icon do programa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Configuração original do programa de instalação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Gama tester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Carlos R. Soares (in memorium)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Assessoria para sedimentologia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Sugestões originais de análises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Apoio bibliográfico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Carlos Alberto Borzone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Detecção de bugs na classificação verbal do método das medidas dos momentos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1ns"/>
        <w:bidi w:val="0"/>
        <w:spacing w:lineRule="atLeast" w:line="240"/>
        <w:ind w:left="180" w:right="144" w:hanging="0"/>
        <w:jc w:val="center"/>
        <w:rPr/>
      </w:pPr>
      <w:r>
        <w:rPr>
          <w:sz w:val="40"/>
          <w:szCs w:val="40"/>
        </w:rPr>
        <w:t>Histórico das versões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4.0 (2022 – Lazarus 2.2 Windows e Linux)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Conversão do projeto do antigo Delphi Pascal para Lazarus Freepascal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Modernização dos acessos às planilhas do Excel, com a incorporação dos modernos formatos xlsx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Incorporação do formato de arquivos ods, do Libre Office ou Open Office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Reformulação do motor dos gráficos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3.1 (2006 – Delphi 5.0 - Windows)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Novo help e leiame atualizados para a versão 3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Novo ícone do programa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Pequenos bugs resolvidos de adaptação ao modo MDI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3.0 (2005 – Delphi 5.0 - Windows)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Programa livre com código aberto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Novo layout MDI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Opção de não plotar os labels nos diagramas de Shepard e Pejrup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Os demais gráficos agora podem ser configurados para a escala, cores, 3D, etc...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Diversos bugs resolvidos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Compatível com Windows XP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Opção de salvar nos formatos bmp, wmf, emf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Remoção do limite de 50 classes de tamanho. Agora todas as colunas (classes) podem ser preenchidas, totalizando 255, o que permite a utilização do programa para análises granulométricas a laser.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- Retirada da compatibilidade com antigas versões de arquivos de texto separado por TAB. 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2.4 (2001 – Delphi 4.0 - Windows)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Inclusão de gráficos bivariados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Inclusão dos diagramas e Shepard e Pejrup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Correção de bug na classificação verbal do método das medidas dos momentos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2.2 (1999 – Delphi 3.0 - Windows)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Leitura de arquivos Excel 4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Inclusão da análise por medida dos momentos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2.0 (1997 – Delphi 2.0 - Windows)</w:t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Conversão para Windows 95.</w:t>
      </w:r>
    </w:p>
    <w:p>
      <w:pPr>
        <w:pStyle w:val="Normal"/>
        <w:bidi w:val="0"/>
        <w:spacing w:lineRule="atLeast" w:line="240"/>
        <w:ind w:left="180" w:right="1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24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Versão 1.0 (1997 – Delphi 1.0 Windows)</w:t>
      </w:r>
    </w:p>
    <w:p>
      <w:pPr>
        <w:pStyle w:val="Normal"/>
        <w:bidi w:val="0"/>
        <w:spacing w:lineRule="atLeast" w:line="240" w:before="40" w:after="60"/>
        <w:ind w:left="180" w:right="144" w:hanging="0"/>
        <w:rPr/>
      </w:pPr>
      <w:r>
        <w:rPr>
          <w:rFonts w:cs="Times New Roman" w:ascii="Times New Roman" w:hAnsi="Times New Roman"/>
          <w:sz w:val="24"/>
          <w:szCs w:val="24"/>
        </w:rPr>
        <w:t>- Versão original para Windows 3.1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 w:before="40" w:after="60"/>
      <w:ind w:left="180" w:right="144" w:hanging="0"/>
      <w:jc w:val="left"/>
      <w:textAlignment w:val="auto"/>
    </w:pPr>
    <w:rPr>
      <w:rFonts w:ascii="Arial" w:hAnsi="Arial" w:eastAsia="Times New Roman" w:cs="Arial"/>
      <w:color w:val="auto"/>
      <w:kern w:val="2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spacing w:before="240" w:after="60"/>
      <w:ind w:left="180" w:right="144" w:hanging="0"/>
      <w:outlineLvl w:val="0"/>
    </w:pPr>
    <w:rPr>
      <w:rFonts w:ascii="Helvetica" w:hAnsi="Helvetica" w:cs="Helvetica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60"/>
      <w:ind w:left="180" w:right="144" w:hanging="0"/>
      <w:outlineLvl w:val="1"/>
    </w:pPr>
    <w:rPr>
      <w:b/>
      <w:bCs/>
    </w:rPr>
  </w:style>
  <w:style w:type="paragraph" w:styleId="Heading3">
    <w:name w:val="Heading 3"/>
    <w:basedOn w:val="Normal"/>
    <w:qFormat/>
    <w:pPr>
      <w:ind w:left="360" w:right="144" w:hanging="0"/>
      <w:outlineLvl w:val="2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Calibri Light" w:hAnsi="Calibri Light" w:cs="Times New Roman"/>
      <w:b/>
      <w:bCs/>
      <w:kern w:val="2"/>
      <w:sz w:val="32"/>
      <w:szCs w:val="32"/>
    </w:rPr>
  </w:style>
  <w:style w:type="character" w:styleId="Ttulo2Char">
    <w:name w:val="Título 2 Char"/>
    <w:basedOn w:val="DefaultParagraphFont"/>
    <w:qFormat/>
    <w:rPr>
      <w:rFonts w:ascii="Calibri Light" w:hAnsi="Calibri Light" w:cs="Times New Roman"/>
      <w:b/>
      <w:bCs/>
      <w:i/>
      <w:iCs/>
      <w:sz w:val="28"/>
      <w:szCs w:val="28"/>
    </w:rPr>
  </w:style>
  <w:style w:type="character" w:styleId="Ttulo3Char">
    <w:name w:val="Título 3 Char"/>
    <w:basedOn w:val="DefaultParagraphFont"/>
    <w:qFormat/>
    <w:rPr>
      <w:rFonts w:ascii="Calibri Light" w:hAnsi="Calibri Light" w:cs="Times New Roman"/>
      <w:b/>
      <w:bCs/>
      <w:sz w:val="26"/>
      <w:szCs w:val="26"/>
    </w:rPr>
  </w:style>
  <w:style w:type="character" w:styleId="FootnoteCharacters">
    <w:name w:val="Footnote Characters"/>
    <w:basedOn w:val="DefaultParagraphFont"/>
    <w:qFormat/>
    <w:rPr>
      <w:sz w:val="16"/>
      <w:szCs w:val="16"/>
      <w:vertAlign w:val="superscript"/>
      <w:lang w:val="en-US"/>
    </w:rPr>
  </w:style>
  <w:style w:type="character" w:styleId="FootnoteAnchor">
    <w:name w:val="Footnote Anchor"/>
    <w:rPr>
      <w:sz w:val="16"/>
      <w:szCs w:val="16"/>
      <w:vertAlign w:val="superscript"/>
      <w:lang w:val="en-US"/>
    </w:rPr>
  </w:style>
  <w:style w:type="character" w:styleId="TextodenotaderodapChar">
    <w:name w:val="Texto de nota de rodapé Char"/>
    <w:basedOn w:val="DefaultParagraphFont"/>
    <w:qFormat/>
    <w:rPr/>
  </w:style>
  <w:style w:type="character" w:styleId="TextodenotadefimChar">
    <w:name w:val="Texto de nota de fim Char"/>
    <w:basedOn w:val="DefaultParagraphFont"/>
    <w:qFormat/>
    <w:rPr/>
  </w:style>
  <w:style w:type="character" w:styleId="EndnoteCharacters">
    <w:name w:val="Endnote Characters"/>
    <w:basedOn w:val="DefaultParagraphFont"/>
    <w:qFormat/>
    <w:rPr>
      <w:rFonts w:cs="Times New Roman"/>
      <w:vertAlign w:val="superscript"/>
    </w:rPr>
  </w:style>
  <w:style w:type="character" w:styleId="EndnoteAnchor">
    <w:name w:val="Endnote Anchor"/>
    <w:rPr>
      <w:rFonts w:cs="Times New Roman"/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pt-BR" w:eastAsia="pt-BR" w:bidi="ar-SA"/>
    </w:rPr>
  </w:style>
  <w:style w:type="paragraph" w:styleId="Estilo">
    <w:name w:val="Estilo"/>
    <w:qFormat/>
    <w:pPr>
      <w:widowControl w:val="false"/>
      <w:suppressAutoHyphens w:val="true"/>
      <w:bidi w:val="0"/>
      <w:spacing w:before="0" w:after="0"/>
      <w:ind w:left="180" w:hanging="0"/>
      <w:jc w:val="left"/>
      <w:textAlignment w:val="auto"/>
    </w:pPr>
    <w:rPr>
      <w:rFonts w:ascii="Arial" w:hAnsi="Arial" w:eastAsia="Times New Roman" w:cs="Arial"/>
      <w:color w:val="auto"/>
      <w:kern w:val="2"/>
      <w:sz w:val="24"/>
      <w:szCs w:val="24"/>
      <w:lang w:val="en-US" w:eastAsia="pt-BR" w:bidi="ar-SA"/>
    </w:rPr>
  </w:style>
  <w:style w:type="paragraph" w:styleId="Footnote">
    <w:name w:val="Footnote Text"/>
    <w:basedOn w:val="Normal"/>
    <w:pPr>
      <w:ind w:left="180" w:right="144" w:hanging="0"/>
    </w:pPr>
    <w:rPr/>
  </w:style>
  <w:style w:type="paragraph" w:styleId="NormalIndent">
    <w:name w:val="Normal Indent"/>
    <w:basedOn w:val="Normal"/>
    <w:qFormat/>
    <w:pPr>
      <w:ind w:left="576" w:right="144" w:hanging="0"/>
    </w:pPr>
    <w:rPr/>
  </w:style>
  <w:style w:type="paragraph" w:styleId="Code">
    <w:name w:val="Code"/>
    <w:basedOn w:val="Normal"/>
    <w:qFormat/>
    <w:pPr>
      <w:tabs>
        <w:tab w:val="clear" w:pos="720"/>
        <w:tab w:val="left" w:pos="360" w:leader="none"/>
      </w:tabs>
      <w:spacing w:before="0" w:after="0"/>
      <w:ind w:left="360" w:right="144" w:hanging="216"/>
    </w:pPr>
    <w:rPr>
      <w:rFonts w:ascii="Courier New" w:hAnsi="Courier New" w:cs="Courier New"/>
    </w:rPr>
  </w:style>
  <w:style w:type="paragraph" w:styleId="In1">
    <w:name w:val="In1"/>
    <w:basedOn w:val="Normal"/>
    <w:qFormat/>
    <w:pPr>
      <w:ind w:left="360" w:right="144" w:hanging="0"/>
    </w:pPr>
    <w:rPr/>
  </w:style>
  <w:style w:type="paragraph" w:styleId="H2">
    <w:name w:val="H2"/>
    <w:basedOn w:val="Normal"/>
    <w:next w:val="Normal"/>
    <w:qFormat/>
    <w:pPr>
      <w:spacing w:before="140" w:after="0"/>
      <w:ind w:left="360" w:right="144" w:hanging="216"/>
    </w:pPr>
    <w:rPr>
      <w:b/>
      <w:bCs/>
    </w:rPr>
  </w:style>
  <w:style w:type="paragraph" w:styleId="H3">
    <w:name w:val="H3"/>
    <w:basedOn w:val="Normal"/>
    <w:next w:val="In1"/>
    <w:qFormat/>
    <w:pPr>
      <w:spacing w:before="140" w:after="0"/>
      <w:ind w:left="360" w:right="144" w:hanging="0"/>
    </w:pPr>
    <w:rPr>
      <w:b/>
      <w:bCs/>
    </w:rPr>
  </w:style>
  <w:style w:type="paragraph" w:styleId="LS1">
    <w:name w:val="LS1"/>
    <w:basedOn w:val="Normal"/>
    <w:qFormat/>
    <w:pPr>
      <w:tabs>
        <w:tab w:val="clear" w:pos="720"/>
        <w:tab w:val="left" w:pos="360" w:leader="none"/>
      </w:tabs>
      <w:spacing w:before="0" w:after="60"/>
      <w:ind w:left="360" w:right="144" w:hanging="187"/>
    </w:pPr>
    <w:rPr/>
  </w:style>
  <w:style w:type="paragraph" w:styleId="LS2">
    <w:name w:val="LS2"/>
    <w:basedOn w:val="LS1"/>
    <w:qFormat/>
    <w:pPr>
      <w:tabs>
        <w:tab w:val="clear" w:pos="360"/>
        <w:tab w:val="left" w:pos="540" w:leader="none"/>
      </w:tabs>
      <w:spacing w:before="0" w:after="60"/>
      <w:ind w:left="540" w:right="144" w:hanging="180"/>
    </w:pPr>
    <w:rPr/>
  </w:style>
  <w:style w:type="paragraph" w:styleId="T2">
    <w:name w:val="T2"/>
    <w:basedOn w:val="Normal"/>
    <w:qFormat/>
    <w:pPr>
      <w:tabs>
        <w:tab w:val="clear" w:pos="720"/>
        <w:tab w:val="left" w:pos="2700" w:leader="none"/>
      </w:tabs>
      <w:ind w:left="2707" w:right="144" w:hanging="2563"/>
    </w:pPr>
    <w:rPr/>
  </w:style>
  <w:style w:type="paragraph" w:styleId="TLine">
    <w:name w:val="TLine"/>
    <w:basedOn w:val="Normal"/>
    <w:qFormat/>
    <w:pPr>
      <w:pBdr>
        <w:top w:val="single" w:sz="6" w:space="1" w:color="000000"/>
      </w:pBdr>
      <w:spacing w:lineRule="exact" w:line="43" w:before="0" w:after="0"/>
      <w:ind w:left="180" w:right="144" w:hanging="0"/>
    </w:pPr>
    <w:rPr/>
  </w:style>
  <w:style w:type="paragraph" w:styleId="T3">
    <w:name w:val="T3"/>
    <w:basedOn w:val="Normal"/>
    <w:qFormat/>
    <w:pPr>
      <w:tabs>
        <w:tab w:val="clear" w:pos="720"/>
        <w:tab w:val="left" w:pos="2340" w:leader="none"/>
        <w:tab w:val="left" w:pos="4140" w:leader="none"/>
      </w:tabs>
      <w:ind w:left="4147" w:right="144" w:hanging="4003"/>
    </w:pPr>
    <w:rPr/>
  </w:style>
  <w:style w:type="paragraph" w:styleId="T4">
    <w:name w:val="T4"/>
    <w:basedOn w:val="Normal"/>
    <w:qFormat/>
    <w:pPr>
      <w:tabs>
        <w:tab w:val="clear" w:pos="720"/>
        <w:tab w:val="left" w:pos="1620" w:leader="none"/>
        <w:tab w:val="left" w:pos="3060" w:leader="none"/>
        <w:tab w:val="left" w:pos="4500" w:leader="none"/>
      </w:tabs>
      <w:ind w:left="4507" w:right="144" w:hanging="4363"/>
    </w:pPr>
    <w:rPr/>
  </w:style>
  <w:style w:type="paragraph" w:styleId="H1">
    <w:name w:val="H1"/>
    <w:basedOn w:val="Normal"/>
    <w:next w:val="Normal"/>
    <w:qFormat/>
    <w:pPr>
      <w:spacing w:before="0" w:after="104"/>
      <w:ind w:left="180" w:right="144" w:hanging="0"/>
    </w:pPr>
    <w:rPr>
      <w:b/>
      <w:bCs/>
      <w:color w:val="0000FF"/>
      <w:sz w:val="24"/>
      <w:szCs w:val="24"/>
    </w:rPr>
  </w:style>
  <w:style w:type="paragraph" w:styleId="NUM1">
    <w:name w:val="NUM1"/>
    <w:basedOn w:val="LS1"/>
    <w:qFormat/>
    <w:pPr>
      <w:spacing w:before="0" w:after="60"/>
      <w:ind w:left="360" w:right="144" w:hanging="216"/>
    </w:pPr>
    <w:rPr/>
  </w:style>
  <w:style w:type="paragraph" w:styleId="NUM2">
    <w:name w:val="NUM2"/>
    <w:basedOn w:val="NUM1"/>
    <w:qFormat/>
    <w:pPr>
      <w:tabs>
        <w:tab w:val="clear" w:pos="360"/>
        <w:tab w:val="left" w:pos="576" w:leader="none"/>
      </w:tabs>
      <w:spacing w:before="0" w:after="60"/>
      <w:ind w:left="576" w:right="144" w:hanging="216"/>
    </w:pPr>
    <w:rPr/>
  </w:style>
  <w:style w:type="paragraph" w:styleId="CodeNW">
    <w:name w:val="CodeNW"/>
    <w:basedOn w:val="Code"/>
    <w:qFormat/>
    <w:pPr>
      <w:keepLines/>
      <w:tabs>
        <w:tab w:val="left" w:pos="360" w:leader="none"/>
        <w:tab w:val="left" w:pos="547" w:leader="none"/>
        <w:tab w:val="left" w:pos="720" w:leader="none"/>
        <w:tab w:val="left" w:pos="907" w:leader="none"/>
        <w:tab w:val="left" w:pos="1080" w:leader="none"/>
        <w:tab w:val="left" w:pos="1267" w:leader="none"/>
      </w:tabs>
      <w:spacing w:before="0" w:after="0"/>
      <w:ind w:left="144" w:right="0" w:hanging="216"/>
    </w:pPr>
    <w:rPr>
      <w:rFonts w:ascii="Courier New" w:hAnsi="Courier New" w:cs="Courier New"/>
    </w:rPr>
  </w:style>
  <w:style w:type="paragraph" w:styleId="CodeNWIn">
    <w:name w:val="CodeNWIn"/>
    <w:basedOn w:val="CodeNW"/>
    <w:qFormat/>
    <w:pPr>
      <w:keepLines/>
      <w:tabs>
        <w:tab w:val="clear" w:pos="360"/>
        <w:tab w:val="clear" w:pos="547"/>
        <w:tab w:val="left" w:pos="540" w:leader="none"/>
        <w:tab w:val="left" w:pos="720" w:leader="none"/>
        <w:tab w:val="left" w:pos="907" w:leader="none"/>
        <w:tab w:val="left" w:pos="1080" w:leader="none"/>
        <w:tab w:val="left" w:pos="1267" w:leader="none"/>
        <w:tab w:val="left" w:pos="1440" w:leader="none"/>
      </w:tabs>
      <w:spacing w:before="0" w:after="0"/>
      <w:ind w:left="360" w:right="0" w:hanging="216"/>
    </w:pPr>
    <w:rPr>
      <w:rFonts w:ascii="Courier New" w:hAnsi="Courier New" w:cs="Courier New"/>
    </w:rPr>
  </w:style>
  <w:style w:type="paragraph" w:styleId="Syntax">
    <w:name w:val="Syntax"/>
    <w:basedOn w:val="Normal"/>
    <w:next w:val="H2"/>
    <w:qFormat/>
    <w:pPr>
      <w:keepLines/>
      <w:tabs>
        <w:tab w:val="left" w:pos="360" w:leader="none"/>
        <w:tab w:val="left" w:pos="547" w:leader="none"/>
        <w:tab w:val="left" w:pos="720" w:leader="none"/>
        <w:tab w:val="left" w:pos="907" w:leader="none"/>
        <w:tab w:val="left" w:pos="1080" w:leader="none"/>
        <w:tab w:val="left" w:pos="1267" w:leader="none"/>
      </w:tabs>
      <w:ind w:left="180" w:right="0" w:hanging="0"/>
    </w:pPr>
    <w:rPr/>
  </w:style>
  <w:style w:type="paragraph" w:styleId="THead">
    <w:name w:val="THead"/>
    <w:basedOn w:val="H2"/>
    <w:next w:val="TLine"/>
    <w:qFormat/>
    <w:pPr>
      <w:tabs>
        <w:tab w:val="clear" w:pos="720"/>
        <w:tab w:val="left" w:pos="2347" w:leader="none"/>
        <w:tab w:val="left" w:pos="4147" w:leader="none"/>
      </w:tabs>
      <w:spacing w:before="120" w:after="0"/>
      <w:ind w:left="360" w:right="144" w:hanging="216"/>
    </w:pPr>
    <w:rPr>
      <w:b/>
      <w:bCs/>
    </w:rPr>
  </w:style>
  <w:style w:type="paragraph" w:styleId="Note">
    <w:name w:val="Note"/>
    <w:basedOn w:val="Normal"/>
    <w:next w:val="Normal"/>
    <w:qFormat/>
    <w:pPr>
      <w:tabs>
        <w:tab w:val="left" w:pos="720" w:leader="none"/>
        <w:tab w:val="left" w:pos="8820" w:leader="none"/>
      </w:tabs>
      <w:ind w:left="720" w:right="144" w:hanging="576"/>
    </w:pPr>
    <w:rPr/>
  </w:style>
  <w:style w:type="paragraph" w:styleId="TCell">
    <w:name w:val="TCell"/>
    <w:basedOn w:val="Normal"/>
    <w:qFormat/>
    <w:pPr>
      <w:ind w:left="0" w:right="0" w:hanging="0"/>
    </w:pPr>
    <w:rPr/>
  </w:style>
  <w:style w:type="paragraph" w:styleId="H1Link">
    <w:name w:val="H1Link"/>
    <w:basedOn w:val="Normal"/>
    <w:next w:val="Normal"/>
    <w:qFormat/>
    <w:pPr>
      <w:keepNext w:val="true"/>
      <w:tabs>
        <w:tab w:val="clear" w:pos="720"/>
        <w:tab w:val="left" w:pos="1440" w:leader="none"/>
        <w:tab w:val="left" w:pos="2700" w:leader="none"/>
        <w:tab w:val="left" w:pos="3960" w:leader="none"/>
      </w:tabs>
      <w:spacing w:before="0" w:after="0"/>
      <w:ind w:left="180" w:right="144" w:hanging="0"/>
    </w:pPr>
    <w:rPr>
      <w:sz w:val="16"/>
      <w:szCs w:val="16"/>
    </w:rPr>
  </w:style>
  <w:style w:type="paragraph" w:styleId="H1ns">
    <w:name w:val="H1ns"/>
    <w:basedOn w:val="H1"/>
    <w:next w:val="H1Link"/>
    <w:qFormat/>
    <w:pPr>
      <w:keepNext w:val="true"/>
      <w:spacing w:before="0" w:after="104"/>
      <w:ind w:left="180" w:right="144" w:hanging="0"/>
    </w:pPr>
    <w:rPr>
      <w:b/>
      <w:bCs/>
      <w:color w:val="0000FF"/>
      <w:sz w:val="24"/>
      <w:szCs w:val="24"/>
    </w:rPr>
  </w:style>
  <w:style w:type="paragraph" w:styleId="Endnote">
    <w:name w:val="Endnote Text"/>
    <w:basedOn w:val="Normal"/>
    <w:pPr>
      <w:ind w:left="180" w:right="144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LibreOffice/7.2.7.2$Linux_X86_64 LibreOffice_project/8d71d29d553c0f7dcbfa38fbfda25ee34cce99a2</Application>
  <AppVersion>15.0000</AppVersion>
  <Pages>6</Pages>
  <Words>1135</Words>
  <Characters>6129</Characters>
  <CharactersWithSpaces>7130</CharactersWithSpaces>
  <Paragraphs>156</Paragraphs>
  <Company>Dell Computer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1995-02-02T10:52:00Z</dcterms:created>
  <dc:creator>Preferred Customer</dc:creator>
  <dc:description/>
  <dc:language>pt-BR</dc:language>
  <cp:lastModifiedBy/>
  <dcterms:modified xsi:type="dcterms:W3CDTF">2022-07-21T10:37:51Z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Mauricio Camargo</vt:lpwstr>
  </property>
</Properties>
</file>