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Pré-requisitos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120" w:line="240" w:lineRule="auto"/>
        <w:ind w:left="720" w:hanging="36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O endereço IP do servidor é estático.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7"/>
          <w:szCs w:val="27"/>
          <w:rtl w:val="0"/>
        </w:rPr>
        <w:t xml:space="preserve">Procedimento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Instale os pacotes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e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bind-utils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yum install bind bind-utils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Edite 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/etc/named.conf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arquivo e faça as seguintes alterações na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instrução: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Atualize as instruções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listen-on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listen-on-v6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para especificar em quais interfaces IPv4 e IPv6 o BIND deve atender: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hanging="36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listen-on port 53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127.0.0.1; 192.0.2.1;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listen-on-v6 port 53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::1; 2001:db8:1::1;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after="280" w:before="280" w:lineRule="auto"/>
        <w:ind w:left="1440" w:hanging="36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Atualize a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allow-query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instrução para configurar de quais endereços IP e intervalos os clientes podem consultar este servidor DNS: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allow-query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localhost; 192.0.2.0/24; 2001:db8:1::/64;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280" w:before="280" w:lineRule="auto"/>
        <w:ind w:left="1440" w:hanging="360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Adicione uma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allow-recursion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instrução para definir de quais endereços IP e intervalos o BIND aceita consultas recursivas: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nsolas" w:cs="Consolas" w:eastAsia="Consolas" w:hAnsi="Consolas"/>
          <w:b w:val="1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allow-recursion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localhost; 192.0.2.0/24; 2001:db8:1::/64;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52525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Por padrão, o BIND resolve consultas consultando recursivamente dos servidores raiz para um servidor DNS autoritativo. Alternativamente, você pode configurar o BIND para encaminhar consultas para outros servidores DNS, como os do seu provedor. Neste caso, adicione uma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forwarders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declaração com a lista de endereços IP dos servidores DNS para os quais o BIND deve encaminhar as consultas:</w:t>
      </w:r>
    </w:p>
    <w:p w:rsidR="00000000" w:rsidDel="00000000" w:rsidP="00000000" w:rsidRDefault="00000000" w:rsidRPr="00000000" w14:paraId="00000010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forwarders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198.51.100.1; 203.0.113.5;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Verifique a sintaxe do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/etc/named.conf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arquivo: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named-checkconf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Se o comando não exibir nenhuma saída, a sintaxe está correta.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Atualize as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firewalld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regras para permitir o tráfego DNS de entrada: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firewall-cmd --permanent --add-service=dns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firewall-cmd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Inicie e habilite o BIND: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systemctl enable --now named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Arial" w:cs="Arial" w:eastAsia="Arial" w:hAnsi="Arial"/>
          <w:color w:val="25252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52525"/>
          <w:sz w:val="36"/>
          <w:szCs w:val="36"/>
          <w:rtl w:val="0"/>
        </w:rPr>
        <w:t xml:space="preserve">Configurando zonas em um servidor BIND DNS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Arial" w:cs="Arial" w:eastAsia="Arial" w:hAnsi="Arial"/>
          <w:color w:val="252525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Uma zona DNS é um banco de dados com registros de recursos para uma subárvore específica no espaço do domínio. Por exemplo, se você for o responsável pelo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example.com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domínio, poderá configurar uma zona para ele no BIND. Como resultado, os clientes podem resolver 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eeeeee" w:val="clear"/>
            <w:rtl w:val="0"/>
          </w:rPr>
          <w:t xml:space="preserve">www.example.com</w:t>
        </w:r>
      </w:hyperlink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rtl w:val="0"/>
        </w:rPr>
        <w:t xml:space="preserve">para o endereço IP configurado nesta zona.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highlight w:val="white"/>
          <w:u w:val="none"/>
          <w:vertAlign w:val="baseline"/>
          <w:rtl w:val="0"/>
        </w:rPr>
        <w:t xml:space="preserve">Adicione uma definição de zona ao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/etc/named.conf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highlight w:val="white"/>
          <w:u w:val="none"/>
          <w:vertAlign w:val="baseline"/>
          <w:rtl w:val="0"/>
        </w:rPr>
        <w:t xml:space="preserve">arquivo:</w:t>
      </w:r>
    </w:p>
    <w:p w:rsidR="00000000" w:rsidDel="00000000" w:rsidP="00000000" w:rsidRDefault="00000000" w:rsidRPr="00000000" w14:paraId="0000001D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zone "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example.com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"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type master;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file "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example.com.zone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allow-query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any;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allow-transfer {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none;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25252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252525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Verifique a sintaxe do 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eeeee" w:val="clear"/>
          <w:rtl w:val="0"/>
        </w:rPr>
        <w:t xml:space="preserve">/etc/named.conf </w:t>
      </w:r>
      <w:r w:rsidDel="00000000" w:rsidR="00000000" w:rsidRPr="00000000">
        <w:rPr>
          <w:rFonts w:ascii="Arial" w:cs="Arial" w:eastAsia="Arial" w:hAnsi="Arial"/>
          <w:color w:val="252525"/>
          <w:sz w:val="27"/>
          <w:szCs w:val="27"/>
          <w:highlight w:val="white"/>
          <w:rtl w:val="0"/>
        </w:rPr>
        <w:t xml:space="preserve">arquivo: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named-checkconf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highlight w:val="white"/>
          <w:u w:val="none"/>
          <w:vertAlign w:val="baseline"/>
          <w:rtl w:val="0"/>
        </w:rPr>
        <w:t xml:space="preserve">Create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/var/named/example.com.zone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highlight w:val="white"/>
          <w:u w:val="none"/>
          <w:vertAlign w:val="baseline"/>
          <w:rtl w:val="0"/>
        </w:rPr>
        <w:t xml:space="preserve"> file, for example, with the following content:OPKOOK</w:t>
      </w:r>
    </w:p>
    <w:p w:rsidR="00000000" w:rsidDel="00000000" w:rsidP="00000000" w:rsidRDefault="00000000" w:rsidRPr="00000000" w14:paraId="00000027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$TTL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@ IN SOA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ns1.example.com.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hostmaster.example.com.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2022070601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; serial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1d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; refresh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3h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; retry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3d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; expire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51515"/>
          <w:sz w:val="20"/>
          <w:szCs w:val="20"/>
          <w:rtl w:val="0"/>
        </w:rPr>
        <w:t xml:space="preserve">3h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)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; minimum TTL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NS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ns1.example.com.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MX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10 mail.example.com.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www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A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192.0.2.30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www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AAAA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2001:db8:1::30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ns1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A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192.0.2.1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ns1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AAAA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2001:db8:1::1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A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192.0.2.20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15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IN AAAA</w:t>
      </w:r>
      <w:r w:rsidDel="00000000" w:rsidR="00000000" w:rsidRPr="00000000">
        <w:rPr>
          <w:rFonts w:ascii="Consolas" w:cs="Consolas" w:eastAsia="Consolas" w:hAnsi="Consolas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51515"/>
          <w:sz w:val="20"/>
          <w:szCs w:val="20"/>
          <w:rtl w:val="0"/>
        </w:rPr>
        <w:t xml:space="preserve">2001:db8:1::20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Defina permissões seguras no arquivo de zona que permitem que apenas 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grupo o leia: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chown root:named /var/named/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example.com.zone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chmod 640 /var/named/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example.com.zone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Verifique a sintaxe do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eeeee" w:val="clear"/>
          <w:vertAlign w:val="baseline"/>
          <w:rtl w:val="0"/>
        </w:rPr>
        <w:t xml:space="preserve">/var/named/example.com.zone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arquivo: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named-checkzone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example.com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/var/named/example.com.zone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example.com/IN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: loaded serial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2022070601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Recarregar BIND: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systemctl reload named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https://access.redhat.com/documentation/en-us/red_hat_enterprise_linux/8/html/deploying_different_types_of_servers/assembly_setting-up-and-configuring-a-bind-dns-server_deploying-different-types-of-servers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A6174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1" w:customStyle="1">
    <w:name w:val="Título1"/>
    <w:basedOn w:val="Normal"/>
    <w:rsid w:val="00A617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A61742"/>
    <w:rPr>
      <w:b w:val="1"/>
      <w:bCs w:val="1"/>
    </w:rPr>
  </w:style>
  <w:style w:type="paragraph" w:styleId="simpara" w:customStyle="1">
    <w:name w:val="simpara"/>
    <w:basedOn w:val="Normal"/>
    <w:rsid w:val="00A617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A61742"/>
    <w:rPr>
      <w:rFonts w:ascii="Courier New" w:cs="Courier New" w:eastAsia="Times New Roman" w:hAnsi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A61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A61742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 w:val="1"/>
    <w:rsid w:val="00A61742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A61742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A61742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A617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DC75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s://access.redhat.com/documentation/en-us/red_hat_enterprise_linux/8/html/deploying_different_types_of_servers/assembly_setting-up-and-configuring-a-bind-dns-server_deploying-different-types-of-serv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dIxG8/8xOqR7XkAVyPnuPJ9aUA==">CgMxLjAyCGguZ2pkZ3hzOAByITFkQnpzN3UyOUFVSnUwRnBCdWhQbUpuQ3NmQzdxNUFqaA==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2023-05-16T23:49:00Z</dcterms:created>
  <dc:creator>Mauricio</dc:creator>
</cp:coreProperties>
</file>