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i w:val="0"/>
          <w:sz w:val="32"/>
        </w:rPr>
        <w:t>REPORTE METODOLÓGICO DE TESIS DE PREGRADO</w:t>
        <w:br/>
      </w:r>
      <w:r>
        <w:rPr>
          <w:rFonts w:ascii="Arial" w:hAnsi="Arial"/>
          <w:b/>
          <w:i w:val="0"/>
          <w:color w:val="505050"/>
          <w:sz w:val="26"/>
        </w:rPr>
        <w:t>Carrera de Ingeniería en Estadística</w:t>
        <w:br/>
      </w:r>
      <w:r>
        <w:rPr>
          <w:rFonts w:ascii="Arial" w:hAnsi="Arial"/>
          <w:b/>
          <w:i w:val="0"/>
          <w:color w:val="800000"/>
          <w:sz w:val="28"/>
        </w:rPr>
        <w:t>"Análisis Bayesiano de Homicidios en el Cantón Guayaquil mediante Análisis Espacio-Temporal"</w:t>
        <w:br/>
      </w:r>
      <w:r>
        <w:rPr>
          <w:rFonts w:ascii="Arial" w:hAnsi="Arial"/>
          <w:b w:val="0"/>
          <w:i/>
          <w:sz w:val="24"/>
        </w:rPr>
        <w:t>Modelamiento Jerárquico Espacio-Temporal con ADVI (2024-2025) y Validación NUTS</w:t>
      </w:r>
    </w:p>
    <w:p>
      <w:pPr>
        <w:spacing w:after="240" w:line="276" w:lineRule="auto"/>
      </w:pPr>
      <w:r>
        <w:rPr>
          <w:rFonts w:ascii="Arial" w:hAnsi="Arial"/>
          <w:b w:val="0"/>
          <w:i w:val="0"/>
          <w:sz w:val="22"/>
        </w:rPr>
        <w:t>Este documento consolidado contiene el flujo de tablas de resultados de la metodología desarrollada para el modelado espacio-temporal de muertes violentas registradas en el Cantón Guayaquil entre 2024 y 2026. Los resultados cubren el control de calidad, el análisis de autocorrelación espacial (LISA), los diagnósticos de sobredispersión, la comparación de modelos Poisson y Binomial Negativa frecuentistas, y los parámetros posteriores del modelo Bayesiano jerárquico estimado mediante ADVI.</w:t>
      </w:r>
    </w:p>
    <w:p>
      <w:r>
        <w:rPr>
          <w:rFonts w:ascii="Arial" w:hAnsi="Arial"/>
          <w:b/>
          <w:i w:val="0"/>
          <w:sz w:val="20"/>
        </w:rPr>
        <w:t>Tabla 1: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Resultados del Proceso de Calidad y Depuración de Datos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4680"/>
        <w:gridCol w:w="4680"/>
      </w:tblGrid>
      <w:tr>
        <w:tc>
          <w:tcPr>
            <w:tcW w:type="dxa" w:w="504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Registros Iniciales (Excel crudo)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4716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Duplicados Eliminados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35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Coordenadas Nulas Eliminadas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Coordenadas Fuera de Bounding Box Eliminadas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47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Registros Limpios Finales (N total)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4634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Valores Faltantes en Edad (NaN)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232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Valores Válidos en Edad (n reportado)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4402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Valores Faltantes en Antecedentes (100% - Excluido)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4634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Eventos sin Subcircuito (post-cruce)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Víctimas Hombres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4227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Víctimas Mujeres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382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Víctimas No Determinadas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Total Suma Sexo (Control)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4634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Homicidios Año 2024 (Año completo)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1926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Homicidios Año 2025 (Año completo)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2506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Homicidios Año 2026 (Solo Enero)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202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Total Suma Temporal (Control)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4634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2: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Distribución de Frecuencia de los Homicidios según el Tipo de Arma Utilizada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Categoría de Variable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Variable / Valor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Frecuencia Absoluta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Porcentaje Relativo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Tipo de Arma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ARMA DE FUEGO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4200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89.06%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Tipo de Arma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ARMA BLANCA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350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7.42%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Tipo de Arma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OTRAS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166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3.52%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3: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Comparación Matemática de Matrices de Vecindad Queen y Rook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60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Matriz Queen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Matriz Rook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Número de Observaciones (N)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244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244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Islas Iniciales (sin conectar)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Islas Finales (conectadas)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Promedio de Vecinos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5.25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4.78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Densidad de la Matriz (%)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2.15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1.96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Máximo número de vecinos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Mínimo número de vecinos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Matriz Seleccionada para el Modelo Final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 (Queen, 4 islas de Puná conectadas)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 (Descartada)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4: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Autocorrelación Espacial Global de Moran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tcW w:type="dxa" w:w="2592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Version</w:t>
            </w:r>
          </w:p>
        </w:tc>
        <w:tc>
          <w:tcPr>
            <w:tcW w:type="dxa" w:w="2592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Variable</w:t>
            </w:r>
          </w:p>
        </w:tc>
        <w:tc>
          <w:tcPr>
            <w:tcW w:type="dxa" w:w="129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Indice_Moran_I</w:t>
            </w:r>
          </w:p>
        </w:tc>
        <w:tc>
          <w:tcPr>
            <w:tcW w:type="dxa" w:w="129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Esperanza_EI</w:t>
            </w:r>
          </w:p>
        </w:tc>
        <w:tc>
          <w:tcPr>
            <w:tcW w:type="dxa" w:w="129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Z_Score</w:t>
            </w:r>
          </w:p>
        </w:tc>
        <w:tc>
          <w:tcPr>
            <w:tcW w:type="dxa" w:w="129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Pseudo_p_valor</w:t>
            </w:r>
          </w:p>
        </w:tc>
        <w:tc>
          <w:tcPr>
            <w:tcW w:type="dxa" w:w="129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Permutaciones</w:t>
            </w:r>
          </w:p>
        </w:tc>
        <w:tc>
          <w:tcPr>
            <w:tcW w:type="dxa" w:w="1152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Semilla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Matriz_Espacial</w:t>
            </w:r>
          </w:p>
        </w:tc>
        <w:tc>
          <w:tcPr>
            <w:tcW w:type="dxa" w:w="129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Promedio_Vecinos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Rol_en_Tesis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(a) Periodo del Modelo (Principal)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Homicidios 2024-2025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0.1149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-0.0041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2.95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0.0062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9999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Queen (4 islas de Puná conectadas)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5.25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Texto principal de la tesis (Capítulos 3 y 4)</w:t>
            </w:r>
          </w:p>
        </w:tc>
      </w:tr>
      <w:tr>
        <w:tc>
          <w:tcPr>
            <w:tcW w:type="dxa" w:w="259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(b) Periodo Completo (Exploratorio)</w:t>
            </w:r>
          </w:p>
        </w:tc>
        <w:tc>
          <w:tcPr>
            <w:tcW w:type="dxa" w:w="259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Homicidios 2024-2026 (Total)</w:t>
            </w:r>
          </w:p>
        </w:tc>
        <w:tc>
          <w:tcPr>
            <w:tcW w:type="dxa" w:w="129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0.1103</w:t>
            </w:r>
          </w:p>
        </w:tc>
        <w:tc>
          <w:tcPr>
            <w:tcW w:type="dxa" w:w="129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-0.0041</w:t>
            </w:r>
          </w:p>
        </w:tc>
        <w:tc>
          <w:tcPr>
            <w:tcW w:type="dxa" w:w="129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2.83</w:t>
            </w:r>
          </w:p>
        </w:tc>
        <w:tc>
          <w:tcPr>
            <w:tcW w:type="dxa" w:w="129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0.0079</w:t>
            </w:r>
          </w:p>
        </w:tc>
        <w:tc>
          <w:tcPr>
            <w:tcW w:type="dxa" w:w="129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9999</w:t>
            </w:r>
          </w:p>
        </w:tc>
        <w:tc>
          <w:tcPr>
            <w:tcW w:type="dxa" w:w="115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Queen (4 islas de Puná conectadas)</w:t>
            </w:r>
          </w:p>
        </w:tc>
        <w:tc>
          <w:tcPr>
            <w:tcW w:type="dxa" w:w="129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5.25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Análisis exploratorio complementario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5: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Comparativa de Ajuste entre Modelos Poisson y Binomial Negativo Frecuentistas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60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 Poisson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 Binomial Negativo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Log-Likelihood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-3550.6550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-1553.4064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AIC (Akaike)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7107.31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3114.81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BIC (Bayesiano)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7119.88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3131.57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6: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Top 10 Subcircuitos con Mayor Riesgo Relativo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Subcircuito</w:t>
            </w:r>
          </w:p>
        </w:tc>
        <w:tc>
          <w:tcPr>
            <w:tcW w:type="dxa" w:w="1728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Circuito</w:t>
            </w:r>
          </w:p>
        </w:tc>
        <w:tc>
          <w:tcPr>
            <w:tcW w:type="dxa" w:w="1728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Distrito</w:t>
            </w:r>
          </w:p>
        </w:tc>
        <w:tc>
          <w:tcPr>
            <w:tcW w:type="dxa" w:w="158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RR (ADVI)</w:t>
            </w:r>
          </w:p>
        </w:tc>
        <w:tc>
          <w:tcPr>
            <w:tcW w:type="dxa" w:w="158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P(RR&gt;1.5) ADVI</w:t>
            </w:r>
          </w:p>
        </w:tc>
        <w:tc>
          <w:tcPr>
            <w:tcW w:type="dxa" w:w="158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RR (NUTS)</w:t>
            </w:r>
          </w:p>
        </w:tc>
        <w:tc>
          <w:tcPr>
            <w:tcW w:type="dxa" w:w="158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P(RR&gt;1.5) NUTS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NUEVO GUAYAQUIL 3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NUEVO GUAYAQUIL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4.39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4.20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</w:tr>
      <w:tr>
        <w:tc>
          <w:tcPr>
            <w:tcW w:type="dxa" w:w="259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PARAISO LA FLOR 4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PARAISO LA FLOR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4.30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4.12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0.9995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 2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4.21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3.85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</w:tr>
      <w:tr>
        <w:tc>
          <w:tcPr>
            <w:tcW w:type="dxa" w:w="259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 2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4.08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3.57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0.9995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GUASMO 1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GUASMO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SUR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4.08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3.61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0.9995</w:t>
            </w:r>
          </w:p>
        </w:tc>
      </w:tr>
      <w:tr>
        <w:tc>
          <w:tcPr>
            <w:tcW w:type="dxa" w:w="259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SAN FRANCISCO 2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SAN FRANCISCO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3.51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2.82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0.9860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TRINITARIA NORTE 2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TRINITARIA NORTE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ESTEROS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3.41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3.31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0.9935</w:t>
            </w:r>
          </w:p>
        </w:tc>
      </w:tr>
      <w:tr>
        <w:tc>
          <w:tcPr>
            <w:tcW w:type="dxa" w:w="259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 3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3.40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0.9990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3.18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0.9960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 LAGOS 3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 LAGOS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SUR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3.11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0.9990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2.93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0.9865</w:t>
            </w:r>
          </w:p>
        </w:tc>
      </w:tr>
      <w:tr>
        <w:tc>
          <w:tcPr>
            <w:tcW w:type="dxa" w:w="259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FORTIN 3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FORTIN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2.94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0.9935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2.88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0.9885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7: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Resumen del Comportamiento Espacio-Temporal de los Subcircuitos (2024-2026)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4680"/>
        <w:gridCol w:w="4680"/>
      </w:tblGrid>
      <w:tr>
        <w:tc>
          <w:tcPr>
            <w:tcW w:type="dxa" w:w="504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Clasificación Dinámica de Hotspots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Número de Subcircuitos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ESTABLE / BAJO RIESGO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172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HOTSPOT PERSISTENTE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72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8: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Comparación de Modelos Bayesianos mediante Validación Cruzada LOO-CV (Escala Log ELPD)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</w:tblGrid>
      <w:tr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rank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elpd_loo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p_loo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elpd_diff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weight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se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dse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warning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scale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ELBO_Final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Variacion_ELBO_5k_Pct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Criterio_Convergencia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Iteraciones_ADVI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Convergio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k &lt; 0.5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0.5 &lt;= k &lt;= 0.7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k &gt; 0.7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Advertencia_Pareto_k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elpd_waic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p_waic</w:t>
            </w:r>
          </w:p>
        </w:tc>
      </w:tr>
      <w:tr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Binomial Negativa (ICAR)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-1233.7458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117.66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0.9902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26.76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-1463.5655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0.0239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50000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371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Advertencia: observaciones con k&gt;0.7 presentes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-1219.5594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103.47</w:t>
            </w:r>
          </w:p>
        </w:tc>
      </w:tr>
      <w:tr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Binomial Negativa (ICAR + No Estructurado)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-1241.6480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126.09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7.90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0.0098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27.92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4.18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-1480.2053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0.0076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50000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355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95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Advertencia: observaciones con k&gt;0.7 presentes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-1225.9192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110.36</w:t>
            </w:r>
          </w:p>
        </w:tc>
      </w:tr>
      <w:tr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BYM2 Binomial Negativo (Prior Beta(0.5, 0.5))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-1242.9201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127.38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9.17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28.03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4.35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-1479.3894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0.0052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50000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357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96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35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Advertencia: observaciones con k&gt;0.7 presentes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-1226.4534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110.91</w:t>
            </w:r>
          </w:p>
        </w:tc>
      </w:tr>
      <w:tr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Poisson Jerárquico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-1369.2207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302.19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135.47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44.14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25.22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-1475.0240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0.1382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50000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False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256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140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92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Advertencia: observaciones con k&gt;0.7 presentes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-1327.7825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260.75</w:t>
            </w:r>
          </w:p>
        </w:tc>
      </w:tr>
    </w:tbl>
    <w:p>
      <w:pPr>
        <w:spacing w:before="240"/>
      </w:pPr>
    </w:p>
    <w:p>
      <w:pPr>
        <w:spacing w:after="240" w:line="276" w:lineRule="auto"/>
      </w:pPr>
      <w:r>
        <w:rPr>
          <w:rFonts w:ascii="Arial" w:hAnsi="Arial"/>
          <w:b/>
          <w:i w:val="0"/>
          <w:sz w:val="21"/>
        </w:rPr>
        <w:t>Nota Metodológica sobre Inferencia Variacional (ADVI), Comparación de Modelos y Validación con NUTS:</w:t>
        <w:br/>
      </w:r>
      <w:r>
        <w:rPr>
          <w:rFonts w:ascii="Arial" w:hAnsi="Arial"/>
          <w:b w:val="0"/>
          <w:i w:val="0"/>
          <w:sz w:val="19"/>
        </w:rPr>
        <w:t>1. Inferencia Principal mediante ADVI y Criterio Unificado de Convergencia: El método principal de estimación de la tesis es Inferencia Variacional por Diferenciación Automática (ADVI) en PyMC, optimizando el ELBO mediante Adam (learning_rate = 0.005) durante 50,000 iteraciones. Se definió un criterio formal de convergencia unificado: la variación de la media móvil del ELBO en las últimas 5,000 iteraciones respecto a las 5,000 anteriores debe ser menor al 0.1% (&lt; 0.001).</w:t>
        <w:br/>
        <w:t>2. Modelo de Referencia por Capacidad Predictiva y Parsimonia: En la comparación formal fuera de muestra (LOO-CV), el Modelo (b) Binomial Negativa (ICAR) obtiene la mayor densidad predictiva esperada (ELPD_LOO = -1,233.75, SE = 26.76) y el menor número de observaciones con Pareto-k &gt; 0.7 (27 observaciones). El Modelo (c) Besag ICAR + No Estructurado (ELPD_LOO = -1,241.65, SE = 27.92, 38 observaciones k &gt; 0.7) y el Modelo (d) BYM2 (ELPD_LOO = -1,242.92, SE = 28.03) presentan densidades predictivas cercanas. La diferencia entre el Modelo (b) y el Modelo (c) es de 7.90 puntos con dse = 4.18, es decir, menor a dos errores estándar (|ΔELPD| &lt; 2·dse = 8.36). En la práctica ambos modelos empatan estadísticamente; por el principio de parsimonia (Navaja de Ockham: menor número de parámetros libres) y mejor comportamiento diagnóstico de Pareto-k, se selecciona formalmente el Modelo (b) como el modelo ganador de referencia metodológica de la tesis.</w:t>
        <w:br/>
        <w:t>3. Parámetro de Mezcla Espacial (rho) y Advertencia Interpretativa: En el modelo BYM2, el parámetro rho con prior Beta(0.5, 0.5) presenta una fuerte discrepancia entre métodos de inferencia: bajo ADVI converge a rho ≈ 0.9998, mientras que bajo muestreo exacto NUTS converge a rho ≈ 0.8199. Por consiguiente, se advierte explícitamente que la lectura de rho bajo ADVI no es fiable para cuantificar la proporción de varianza espacial atribuible a contigüidad territorial.</w:t>
        <w:br/>
        <w:t>4. Diagnóstico de Pareto-k: En paneles cortos (T = 2 años) sobre 244 subcircuitos, la exclusión de una observación modifica la distribución condicional de los efectos latentes locales, elevando las ponderaciones de importancia con valores de k &gt; 0.7.</w:t>
        <w:br/>
        <w:t>5. Contraste Anual (2025 vs. 2024): Al modelar dos años completos, un proceso autorregresivo RW1 no es paramétricamente identificable frente al intercepto cantonal. La especificación de un contraste fijo de año (beta_year con 2024 como referencia) resuelve la identificabilidad y provee una estimación directa de la variación cantonal en 2025.</w:t>
        <w:br/>
        <w:t>6. Validación Metodológica contra NUTS y Calibración de Incertidumbre: Como prueba de contraste rigurosa, se ajustó NUTS MCMC para el Modelo (b) ganador, así como para los Modelos (c) y (d). La validación empírica demuestra que ADVI reproduce fielmente el ordenamiento de los riesgos relativos espaciales (correlación de Pearson r &gt; 0.98 y Spearman rho &gt; 0.98). Sin embargo, ADVI subestima la dispersión de la distribución posterior (desviaciones estándar reducidas entre 40% y 70%), provocando que las probabilidades de excedencia P(RR &gt; 1.5) bajo ADVI se concentren artificialmente en 1.00 en zonas de alto riesgo con intervalos de credibilidad estrechos (ej. Nuevo Guayaquil 3: RR = 4.40, IC [2.79, 6.91]). El cálculo complementario bajo NUTS MCMC restituye la verdadera incertidumbre posterior y provee probabilidades calibradas para la toma de decisiones policiales.</w:t>
        <w:br/>
        <w:t>7. Dinámica Espacio-Temporal y Ausencia de Interacción: El modelo ajustado tiene estructura aditiva sin término de interacción espacio-temporal delta_{it}. Como consecuencia matemática directa, los riesgos relativos espaciales estimados para cada subcircuito son idénticos entre 2024 y 2025 (RR_{i, 2024} = RR_{i, 2025}, como Guasmo 1 con 4.077 en ambos años). Por tanto, la clasificación de 'hotspot persistente' en la Tabla 7 coincide con el conjunto de subcircuitos de alto riesgo (RR &gt;= 1.2) y no provee evidencia de trayectorias locales divergentes. Esta formulación se presenta explícitamente como una limitación metodológica del modelo aditivo.</w:t>
      </w:r>
    </w:p>
    <w:p>
      <w:r>
        <w:rPr>
          <w:rFonts w:ascii="Arial" w:hAnsi="Arial"/>
          <w:b/>
          <w:i w:val="0"/>
          <w:sz w:val="20"/>
        </w:rPr>
        <w:t>Tabla 9: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Estimación del Contraste Fijo Anual de Riesgo de Homicidios (2025 frente a 2024)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Año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Coeficiente_Log_Media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Coeficiente_Log_Mediana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HDI_inf_95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HDI_sup_95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Riesgo_Relativo_Media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Riesgo_Relativo_Mediana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RR_HDI_inf_95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RR_HDI_sup_95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Interpretacion</w:t>
            </w:r>
          </w:p>
        </w:tc>
      </w:tr>
      <w:tr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2024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Línea base cantonal de referencia (2024)</w:t>
            </w:r>
          </w:p>
        </w:tc>
      </w:tr>
      <w:tr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2025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0.3207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0.3201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0.2521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0.3922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1.38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1.38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1.29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1.48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Variación neta estimada de +37.7% en la tasa de homicidios en 2025 frente a 2024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10: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Diagnósticos de Inferencia Variacional ADVI y Métricas de Convergencia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Diagnóstico</w:t>
            </w:r>
          </w:p>
        </w:tc>
        <w:tc>
          <w:tcPr>
            <w:tcW w:type="dxa" w:w="46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Evaluado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(b) Binomial Negativa (ICAR) [Mejor LOO-CV]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Método de Inferencia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ADVI (Automatic Differentiation Variational Inference, Adam lr=0.005)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Muestras Posteriores Extraídas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2000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Criterio de Convergencia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Variación media móvil ELBO últimas 5,000 iteraciones &lt; 0.1%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ELPD_WAIC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-1219.5594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ELPD_WAIC_SE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25.82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p_WAIC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103.47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ELPD_LOO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-1233.7458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ELPD_LOO_SE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26.76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p_LOO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117.66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Pareto-k &lt; 0.5 (Observaciones)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371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Pareto-k [0.5, 0.7] (Observaciones)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Pareto-k &gt; 0.7 (Observaciones)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Advertencia Pareto-k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Advertencia: observaciones con k&gt;0.7 presentes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Beta_Year Media Posterior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0.3207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Beta_Year HDI 95% Inferior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0.2521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Beta_Year HDI 95% Superior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0.3922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11: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Evaluación de Estabilidad del Modelo de Referencia ADVI ante Variación de Semillas Iniciales (3 Semillas)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</w:tblGrid>
      <w:tr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Semilla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ELBO_Final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Variacion_ELBO_Ultimas_5k_Pct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Criterio_Convergencia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Convergio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alpha_media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alpha_sd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beta_year_media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beta_year_sd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beta_area_media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beta_area_sd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sigma_phi_media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sigma_phi_sd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alpha_disp_media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alpha_disp_sd</w:t>
            </w:r>
          </w:p>
        </w:tc>
      </w:tr>
      <w:tr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-1463.5700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0.0239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1.35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0.0249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0.3207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0.0360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0.3242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0.0196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2.59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0.0523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6.98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0.8838</w:t>
            </w:r>
          </w:p>
        </w:tc>
      </w:tr>
      <w:tr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123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-1403.4400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0.2038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1.35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0.0264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0.3131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0.0344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0.3261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0.0192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2.61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0.0526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7.55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0.9755</w:t>
            </w:r>
          </w:p>
        </w:tc>
      </w:tr>
      <w:tr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999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-1566.8100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0.0541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1.36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0.0282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0.3289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0.0376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0.3315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0.0205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2.63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0.0514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7.22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0.9118</w:t>
            </w:r>
          </w:p>
        </w:tc>
      </w:tr>
      <w:tr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Media (Entre Semillas)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-1477.9400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0.0939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1.35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0.0265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0.3209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0.0360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0.3273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0.0197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2.61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0.0521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7.25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0.9237</w:t>
            </w:r>
          </w:p>
        </w:tc>
      </w:tr>
      <w:tr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Desv. Est. (Entre Semillas)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82.63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0.0963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0.0051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0.0017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0.0079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0.0016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0.0038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0.0007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0.0180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0.0006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0.2874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0.0470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12: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Validación Metodológica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Parámetro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Media_ADVI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SD_ADVI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HDI_95_ADVI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Media_NUTS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SD_NUTS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HDI_95_NUTS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Diferencia_Relativa_Medias_Pct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Ratio_SD (ADVI/NUTS)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Subestimacion_Incertidumbre_Pct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HDI_ADVI_Contiene_Media_NUTS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(b) Binomial Negativa (ICAR) [Mejor LOO]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Intercepto Cantonal (alpha)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1.35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0.0249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[1.2997, 1.3982]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1.37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0.0507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[1.2696, 1.4681]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-1.4600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0.4907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+50.9%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(b) Binomial Negativa (ICAR) [Mejor LOO]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Contraste Anual 2025 vs 2024 (beta_year)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0.3207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0.0360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[0.2521, 0.3922]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0.3104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0.0582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[0.1982, 0.4211]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3.34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0.6184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+38.2%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(b) Binomial Negativa (ICAR) [Mejor LOO]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Elasticidad Área Territorial (beta_area)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0.3242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0.0196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[0.2865, 0.3623]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0.3223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0.0641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[0.2034, 0.4555]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0.6000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0.3050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+69.5%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(b) Binomial Negativa (ICAR) [Mejor LOO]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Escala Espacial ICAR (sigma_phi)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2.59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0.0523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[2.4965, 2.7038]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2.05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0.1342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[1.8026, 2.3235]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26.61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0.3896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+61.0%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(b) Binomial Negativa (ICAR) [Mejor LOO]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Dispersión Binomial Negativa (alpha_disp)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6.98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0.8838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[5.4081, 8.7699]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5.12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0.8751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[3.6346, 7.0755]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36.45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1.01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-1.0%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(c) Besag ICAR + No Estructurado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Intercepto Cantonal (alpha)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0.0252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[1.2811, 1.3805]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1.37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0.0651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[1.2433, 1.4991]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-2.7900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0.3863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+61.4%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(c) Besag ICAR + No Estructurado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Contraste Anual 2025 vs 2024 (beta_year)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0.3126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0.0357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[0.2438, 0.3853]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0.3101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0.0577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[0.1934, 0.4225]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0.7900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0.6200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+38.0%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(c) Besag ICAR + No Estructurado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Elasticidad Área Territorial (beta_area)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0.3215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0.0214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[0.2788, 0.3617]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0.2322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0.0737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[0.0959, 0.3861]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38.45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0.2906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+70.9%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(c) Besag ICAR + No Estructurado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Escala Espacial ICAR (sigma_phi)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2.56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0.0494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[2.4639, 2.6605]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1.59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0.2440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[1.1373, 2.0912]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61.22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0.2025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+79.8%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(c) Besag ICAR + No Estructurado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Escala Efecto No Estructurado (sigma_theta)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0.0192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0.0155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[0.0036, 0.0607]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0.5803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0.1688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[0.1196, 0.8542]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-96.6900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0.0917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+90.8%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(c) Besag ICAR + No Estructurado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Dispersión Binomial Negativa (alpha_disp)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7.10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0.8997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[5.5396, 9.1767]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5.32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0.8704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[3.7865, 7.2327]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33.35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1.03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-3.4%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(d) BYM2 (Prior Beta(0.5, 0.5))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Intercepto Cantonal (alpha)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0.0252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[1.2817, 1.3812]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1.37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0.0650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[1.2449, 1.4973]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-2.7400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0.3870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+61.3%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(d) BYM2 (Prior Beta(0.5, 0.5))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Contraste Anual 2025 vs 2024 (beta_year)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0.3126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0.0359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[0.2436, 0.3856]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0.3112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0.0609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[0.1926, 0.4336]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0.4500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0.5892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+41.1%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(d) BYM2 (Prior Beta(0.5, 0.5))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Elasticidad Área Territorial (beta_area)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0.3212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0.0213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[0.2788, 0.3613]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0.2299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0.0733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[0.0918, 0.3782]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39.73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0.2908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+70.9%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(d) BYM2 (Prior Beta(0.5, 0.5))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Escala Espacial Total BYM2 (sigma_s)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2.22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0.0429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[2.1384, 2.3089]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1.50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0.1559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[1.2232, 1.8205]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48.10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0.2749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+72.5%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(d) BYM2 (Prior Beta(0.5, 0.5))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Parámetro de Mezcla Espacial Beta(0.5, 0.5) (rho)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0.9998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0.0007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[0.9991, 1.0000]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0.8199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0.1055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[0.5762, 0.9932]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21.94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0.0069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+99.3%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(d) BYM2 (Prior Beta(0.5, 0.5))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Dispersión Binomial Negativa (alpha_disp)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7.12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0.9011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[5.5562, 9.1987]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5.32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0.8944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[3.8222, 7.2670]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33.85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1.01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-0.8%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13: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Correlación de Riesgos Relativos Espaciales ADVI vs. NUTS por Subcircuito (Modelos b, c y d, N=244)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</w:t>
            </w:r>
          </w:p>
        </w:tc>
        <w:tc>
          <w:tcPr>
            <w:tcW w:type="dxa" w:w="15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Pearson_r</w:t>
            </w:r>
          </w:p>
        </w:tc>
        <w:tc>
          <w:tcPr>
            <w:tcW w:type="dxa" w:w="15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Pearson_p_valor</w:t>
            </w:r>
          </w:p>
        </w:tc>
        <w:tc>
          <w:tcPr>
            <w:tcW w:type="dxa" w:w="15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Spearman_rho</w:t>
            </w:r>
          </w:p>
        </w:tc>
        <w:tc>
          <w:tcPr>
            <w:tcW w:type="dxa" w:w="15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Spearman_p_valor</w:t>
            </w:r>
          </w:p>
        </w:tc>
        <w:tc>
          <w:tcPr>
            <w:tcW w:type="dxa" w:w="15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N_Subcircuitos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(b) Binomial Negativa (ICAR) [Mejor LOO]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0.9976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0.9981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244</w:t>
            </w:r>
          </w:p>
        </w:tc>
      </w:tr>
      <w:tr>
        <w:tc>
          <w:tcPr>
            <w:tcW w:type="dxa" w:w="15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(c) Besag ICAR + No Estructurado</w:t>
            </w:r>
          </w:p>
        </w:tc>
        <w:tc>
          <w:tcPr>
            <w:tcW w:type="dxa" w:w="15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0.9952</w:t>
            </w:r>
          </w:p>
        </w:tc>
        <w:tc>
          <w:tcPr>
            <w:tcW w:type="dxa" w:w="15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15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0.9960</w:t>
            </w:r>
          </w:p>
        </w:tc>
        <w:tc>
          <w:tcPr>
            <w:tcW w:type="dxa" w:w="15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15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244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(d) BYM2 (Prior Beta(0.5, 0.5))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0.9949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0.9959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244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14: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Diagnósticos de Muestreo NUTS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</w:t>
            </w:r>
          </w:p>
        </w:tc>
        <w:tc>
          <w:tcPr>
            <w:tcW w:type="dxa" w:w="1872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R_hat_Maximo</w:t>
            </w:r>
          </w:p>
        </w:tc>
        <w:tc>
          <w:tcPr>
            <w:tcW w:type="dxa" w:w="1872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ESS_Bulk_Minimo</w:t>
            </w:r>
          </w:p>
        </w:tc>
        <w:tc>
          <w:tcPr>
            <w:tcW w:type="dxa" w:w="1872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ESS_Tail_Minimo</w:t>
            </w:r>
          </w:p>
        </w:tc>
        <w:tc>
          <w:tcPr>
            <w:tcW w:type="dxa" w:w="1872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Numero_Divergencias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(b) Binomial Negativa (ICAR)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1.01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337.20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700.04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187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(c) Besag ICAR + No Estructurado</w:t>
            </w:r>
          </w:p>
        </w:tc>
        <w:tc>
          <w:tcPr>
            <w:tcW w:type="dxa" w:w="187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1.01</w:t>
            </w:r>
          </w:p>
        </w:tc>
        <w:tc>
          <w:tcPr>
            <w:tcW w:type="dxa" w:w="187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119.30</w:t>
            </w:r>
          </w:p>
        </w:tc>
        <w:tc>
          <w:tcPr>
            <w:tcW w:type="dxa" w:w="187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49.01</w:t>
            </w:r>
          </w:p>
        </w:tc>
        <w:tc>
          <w:tcPr>
            <w:tcW w:type="dxa" w:w="187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(d) BYM2 (Prior Beta(0.5, 0.5))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1.05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67.75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41.13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</w:tr>
    </w:tbl>
    <w:p>
      <w:pPr>
        <w:spacing w:before="2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