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i w:val="0"/>
          <w:sz w:val="32"/>
        </w:rPr>
        <w:t>REPORTE METODOLÓGICO DE TESIS</w:t>
        <w:br/>
      </w:r>
      <w:r>
        <w:rPr>
          <w:rFonts w:ascii="Arial" w:hAnsi="Arial"/>
          <w:b/>
          <w:i w:val="0"/>
          <w:color w:val="800000"/>
          <w:sz w:val="28"/>
        </w:rPr>
        <w:t>"Análisis Bayesiano de Homicidios en el Cantón Guayaquil mediante Análisis Espacio-Temporal"</w:t>
        <w:br/>
      </w:r>
      <w:r>
        <w:rPr>
          <w:rFonts w:ascii="Arial" w:hAnsi="Arial"/>
          <w:b w:val="0"/>
          <w:i/>
          <w:sz w:val="24"/>
        </w:rPr>
        <w:t>Análisis de Datos y Modelamiento Jerárquico Espacial (2024-2026)</w:t>
      </w:r>
    </w:p>
    <w:p>
      <w:pPr>
        <w:spacing w:after="240" w:line="276" w:lineRule="auto"/>
      </w:pPr>
      <w:r>
        <w:rPr>
          <w:rFonts w:ascii="Arial" w:hAnsi="Arial"/>
          <w:b w:val="0"/>
          <w:i w:val="0"/>
          <w:sz w:val="22"/>
        </w:rPr>
        <w:t>Este documento consolidado contiene el flujo de tablas de resultados de la metodología desarrollada para el modelado espacio-temporal de muertes violentas registradas en el Cantón Guayaquil entre 2024 y 2026. Los resultados cubren el control de calidad, el análisis de autocorrelación espacial (LISA), los diagnósticos de sobredispersión, la comparación de modelos Poisson y Binomial Negativa frecuentistas, y los parámetros posteriores del modelo Bayesiano jerárquico estimado.</w:t>
      </w:r>
    </w:p>
    <w:p>
      <w:r>
        <w:rPr>
          <w:rFonts w:ascii="Arial" w:hAnsi="Arial"/>
          <w:b/>
          <w:i w:val="0"/>
          <w:sz w:val="20"/>
        </w:rPr>
        <w:t>Tabla 1: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Resultados del Proceso de Calidad y Depuración de Datos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504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Registros Iniciales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4716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Duplicados Eliminados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Coordenadas Nulas Eliminadas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Coordenadas Fuera de Bounding Box Eliminadas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47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Registros Limpios Finales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Valores Faltantes en Edad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232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Valores Faltantes en Arma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Valores Faltantes en Presunto Móvil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Valores Faltantes en Antecedentes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2: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Distribución de Frecuencia de los Homicidios según el Tipo de Arma Utilizada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Categoría de Variable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Variable / Valor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Frecuencia Absoluta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Porcentaje Relativo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ARMA DE FUEGO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4112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88.74%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ARMA BLANCA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268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5.78%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OTROS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193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4.16%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OBJETO CONTUNDENTE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61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1.32%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3: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Comparación Matemática de Matrices de Vecindad Queen y Rook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60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Matriz Queen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Matriz Rook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Número de Observaciones (N)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244.00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244.00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Número de Islas (Aislados)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4.00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4.00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Promedio de Vecinos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5.20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4.73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Densidad de la Matriz (%)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212.98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193.83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Máximo número de vecinos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17.00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17.00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Mínimo número de vecinos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4: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Índice de Autocorrelación Espacial Global de Moran para Homicidios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432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360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Indice Moran I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0.1730</w:t>
            </w:r>
          </w:p>
        </w:tc>
      </w:tr>
      <w:tr>
        <w:tc>
          <w:tcPr>
            <w:tcW w:type="dxa" w:w="432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Esperanza E(I)</w:t>
            </w:r>
          </w:p>
        </w:tc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-0.0041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Z-Score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4.36</w:t>
            </w:r>
          </w:p>
        </w:tc>
      </w:tr>
      <w:tr>
        <w:tc>
          <w:tcPr>
            <w:tcW w:type="dxa" w:w="432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Pseudo p-valor (9999 perm)</w:t>
            </w:r>
          </w:p>
        </w:tc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0.0004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5: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Comparativa de Ajuste entre Modelos Poisson y Binomial Negativo Frecuentistas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60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 Poisson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 Binomial Negativo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Log-Likelihood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-15523.0145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-1962.8629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AIC (Akaike)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31052.03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3933.73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BIC (Bayesiano)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31065.82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3952.11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Pseudo R² (McFadden)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0.0732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nan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6: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Top 10 Subcircuitos con Mayor Riesgo Relativo Estimado mediante el Modelo Bayesiano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Subcircuito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Circuito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Distrito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Riesgo Relativo (RR)</w:t>
            </w:r>
          </w:p>
        </w:tc>
        <w:tc>
          <w:tcPr>
            <w:tcW w:type="dxa" w:w="144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P(RR &gt; 1.5)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NORTE 4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NORTE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ESTEROS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23.97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GUASMO 1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GUASMO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SUR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21.02</w:t>
            </w:r>
          </w:p>
        </w:tc>
        <w:tc>
          <w:tcPr>
            <w:tcW w:type="dxa" w:w="14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SUBURBIO 1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SUBURBIO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PORTETE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20.48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0.9983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SUR 4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SUR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ESTEROS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17.50</w:t>
            </w:r>
          </w:p>
        </w:tc>
        <w:tc>
          <w:tcPr>
            <w:tcW w:type="dxa" w:w="14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NUEVO GUAYAQUIL 3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NUEVO GUAYAQUIL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17.13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NORTE 2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NORTE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ESTEROS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17.08</w:t>
            </w:r>
          </w:p>
        </w:tc>
        <w:tc>
          <w:tcPr>
            <w:tcW w:type="dxa" w:w="14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0.9983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PARAISO LA FLOR 4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PARAISO LA FLOR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16.49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MALVINAS SUR 2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MALVINAS SUR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ESTEROS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15.59</w:t>
            </w:r>
          </w:p>
        </w:tc>
        <w:tc>
          <w:tcPr>
            <w:tcW w:type="dxa" w:w="14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SUR 5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SUR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ESTEROS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14.51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0.9983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MALVINAS SUR 3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MALVINAS SUR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ESTEROS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14.37</w:t>
            </w:r>
          </w:p>
        </w:tc>
        <w:tc>
          <w:tcPr>
            <w:tcW w:type="dxa" w:w="14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0.9967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7: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Resumen del Comportamiento Espacio-Temporal de los Subcircuitos (2024-2026)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504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Clasificación Dinámica de Hotspots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Número de Subcircuitos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HOTSPOT PERSISTENTE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226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HOTSPOT EN DECLIVE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ESTABLE / BAJO RIESGO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</w:t>
            </w:r>
          </w:p>
        </w:tc>
      </w:tr>
    </w:tbl>
    <w:p>
      <w:pPr>
        <w:spacing w:before="2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