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i w:val="0"/>
          <w:sz w:val="32"/>
        </w:rPr>
        <w:t>REPORTE METODOLÓGICO DE TESIS DE PREGRADO</w:t>
        <w:br/>
      </w:r>
      <w:r>
        <w:rPr>
          <w:rFonts w:ascii="Arial" w:hAnsi="Arial"/>
          <w:b/>
          <w:i w:val="0"/>
          <w:color w:val="505050"/>
          <w:sz w:val="26"/>
        </w:rPr>
        <w:t>Carrera de Ingeniería en Estadística</w:t>
        <w:br/>
      </w:r>
      <w:r>
        <w:rPr>
          <w:rFonts w:ascii="Arial" w:hAnsi="Arial"/>
          <w:b/>
          <w:i w:val="0"/>
          <w:color w:val="800000"/>
          <w:sz w:val="28"/>
        </w:rPr>
        <w:t>"Análisis Bayesiano de Homicidios en el Cantón Guayaquil mediante Análisis Espacio-Temporal"</w:t>
        <w:br/>
      </w:r>
      <w:r>
        <w:rPr>
          <w:rFonts w:ascii="Arial" w:hAnsi="Arial"/>
          <w:b w:val="0"/>
          <w:i/>
          <w:sz w:val="24"/>
        </w:rPr>
        <w:t>Modelamiento Jerárquico Espacio-Temporal con NUTS (2024-2025)</w:t>
      </w:r>
    </w:p>
    <w:p>
      <w:pPr>
        <w:spacing w:after="240" w:line="276" w:lineRule="auto"/>
      </w:pPr>
      <w:r>
        <w:rPr>
          <w:rFonts w:ascii="Arial" w:hAnsi="Arial"/>
          <w:b w:val="0"/>
          <w:i w:val="0"/>
          <w:sz w:val="22"/>
        </w:rPr>
        <w:t>Este documento consolidado contiene el flujo de tablas de resultados de la metodología desarrollada para el modelado espacio-temporal de muertes violentas registradas en el Cantón Guayaquil entre 2024 y 2026. Los resultados cubren el control de calidad, el análisis de autocorrelación espacial (LISA), los diagnósticos de sobredispersión, la comparación de modelos Poisson y Binomial Negativa frecuentistas, y los parámetros posteriores del modelo Bayesiano jerárquico estimado.</w:t>
      </w:r>
    </w:p>
    <w:p>
      <w:r>
        <w:rPr>
          <w:rFonts w:ascii="Arial" w:hAnsi="Arial"/>
          <w:b/>
          <w:i w:val="0"/>
          <w:sz w:val="20"/>
        </w:rPr>
        <w:t>Tabla 1:</w:t>
      </w:r>
    </w:p>
    <w:p>
      <w:pPr>
        <w:spacing w:after="120"/>
      </w:pPr>
      <w:r>
        <w:rPr>
          <w:rFonts w:ascii="Arial" w:hAnsi="Arial"/>
          <w:b w:val="0"/>
          <w:i/>
          <w:sz w:val="20"/>
        </w:rPr>
        <w:t>Resultados del Proceso de Calidad y Depuración de Datos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5040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Métrica</w:t>
            </w:r>
          </w:p>
        </w:tc>
        <w:tc>
          <w:tcPr>
            <w:tcW w:type="dxa" w:w="2880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5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Registros Iniciales (Excel crudo)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4716</w:t>
            </w:r>
          </w:p>
        </w:tc>
      </w:tr>
      <w:tr>
        <w:tc>
          <w:tcPr>
            <w:tcW w:type="dxa" w:w="504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Duplicados Eliminados</w:t>
            </w:r>
          </w:p>
        </w:tc>
        <w:tc>
          <w:tcPr>
            <w:tcW w:type="dxa" w:w="288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35</w:t>
            </w:r>
          </w:p>
        </w:tc>
      </w:tr>
      <w:tr>
        <w:tc>
          <w:tcPr>
            <w:tcW w:type="dxa" w:w="5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Coordenadas Nulas Eliminadas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504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Coordenadas Fuera de Bounding Box Eliminadas</w:t>
            </w:r>
          </w:p>
        </w:tc>
        <w:tc>
          <w:tcPr>
            <w:tcW w:type="dxa" w:w="288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47</w:t>
            </w:r>
          </w:p>
        </w:tc>
      </w:tr>
      <w:tr>
        <w:tc>
          <w:tcPr>
            <w:tcW w:type="dxa" w:w="5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Registros Limpios Finales (N total)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4634</w:t>
            </w:r>
          </w:p>
        </w:tc>
      </w:tr>
      <w:tr>
        <w:tc>
          <w:tcPr>
            <w:tcW w:type="dxa" w:w="504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Valores Faltantes en Edad (NaN)</w:t>
            </w:r>
          </w:p>
        </w:tc>
        <w:tc>
          <w:tcPr>
            <w:tcW w:type="dxa" w:w="288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232</w:t>
            </w:r>
          </w:p>
        </w:tc>
      </w:tr>
      <w:tr>
        <w:tc>
          <w:tcPr>
            <w:tcW w:type="dxa" w:w="5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Valores Válidos en Edad (n reportado)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4402</w:t>
            </w:r>
          </w:p>
        </w:tc>
      </w:tr>
      <w:tr>
        <w:tc>
          <w:tcPr>
            <w:tcW w:type="dxa" w:w="504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Valores Faltantes en Antecedentes (100% - Excluido)</w:t>
            </w:r>
          </w:p>
        </w:tc>
        <w:tc>
          <w:tcPr>
            <w:tcW w:type="dxa" w:w="288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4634</w:t>
            </w:r>
          </w:p>
        </w:tc>
      </w:tr>
      <w:tr>
        <w:tc>
          <w:tcPr>
            <w:tcW w:type="dxa" w:w="5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Eventos sin Subcircuito (post-cruce)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504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Víctimas Hombres</w:t>
            </w:r>
          </w:p>
        </w:tc>
        <w:tc>
          <w:tcPr>
            <w:tcW w:type="dxa" w:w="288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4227</w:t>
            </w:r>
          </w:p>
        </w:tc>
      </w:tr>
      <w:tr>
        <w:tc>
          <w:tcPr>
            <w:tcW w:type="dxa" w:w="5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Víctimas Mujeres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382</w:t>
            </w:r>
          </w:p>
        </w:tc>
      </w:tr>
      <w:tr>
        <w:tc>
          <w:tcPr>
            <w:tcW w:type="dxa" w:w="504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Víctimas No Determinadas</w:t>
            </w:r>
          </w:p>
        </w:tc>
        <w:tc>
          <w:tcPr>
            <w:tcW w:type="dxa" w:w="288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25</w:t>
            </w:r>
          </w:p>
        </w:tc>
      </w:tr>
      <w:tr>
        <w:tc>
          <w:tcPr>
            <w:tcW w:type="dxa" w:w="5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Total Suma Sexo (Control)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4634</w:t>
            </w:r>
          </w:p>
        </w:tc>
      </w:tr>
      <w:tr>
        <w:tc>
          <w:tcPr>
            <w:tcW w:type="dxa" w:w="504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Homicidios Año 2024 (Año completo)</w:t>
            </w:r>
          </w:p>
        </w:tc>
        <w:tc>
          <w:tcPr>
            <w:tcW w:type="dxa" w:w="288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1926</w:t>
            </w:r>
          </w:p>
        </w:tc>
      </w:tr>
      <w:tr>
        <w:tc>
          <w:tcPr>
            <w:tcW w:type="dxa" w:w="5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Homicidios Año 2025 (Año completo)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2506</w:t>
            </w:r>
          </w:p>
        </w:tc>
      </w:tr>
      <w:tr>
        <w:tc>
          <w:tcPr>
            <w:tcW w:type="dxa" w:w="504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Homicidios Año 2026 (Solo Enero)</w:t>
            </w:r>
          </w:p>
        </w:tc>
        <w:tc>
          <w:tcPr>
            <w:tcW w:type="dxa" w:w="288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202</w:t>
            </w:r>
          </w:p>
        </w:tc>
      </w:tr>
      <w:tr>
        <w:tc>
          <w:tcPr>
            <w:tcW w:type="dxa" w:w="5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Total Suma Temporal (Control)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4634</w:t>
            </w:r>
          </w:p>
        </w:tc>
      </w:tr>
    </w:tbl>
    <w:p>
      <w:pPr>
        <w:spacing w:before="240"/>
      </w:pPr>
    </w:p>
    <w:p>
      <w:r>
        <w:rPr>
          <w:rFonts w:ascii="Arial" w:hAnsi="Arial"/>
          <w:b/>
          <w:i w:val="0"/>
          <w:sz w:val="20"/>
        </w:rPr>
        <w:t>Tabla 2:</w:t>
      </w:r>
    </w:p>
    <w:p>
      <w:pPr>
        <w:spacing w:after="120"/>
      </w:pPr>
      <w:r>
        <w:rPr>
          <w:rFonts w:ascii="Arial" w:hAnsi="Arial"/>
          <w:b w:val="0"/>
          <w:i/>
          <w:sz w:val="20"/>
        </w:rPr>
        <w:t>Distribución de Frecuencia de los Homicidios según el Tipo de Arma Utilizada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Categoría de Variable</w:t>
            </w:r>
          </w:p>
        </w:tc>
        <w:tc>
          <w:tcPr>
            <w:tcW w:type="dxa" w:w="2880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Variable / Valor</w:t>
            </w:r>
          </w:p>
        </w:tc>
        <w:tc>
          <w:tcPr>
            <w:tcW w:type="dxa" w:w="2160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Frecuencia Absoluta</w:t>
            </w:r>
          </w:p>
        </w:tc>
        <w:tc>
          <w:tcPr>
            <w:tcW w:type="dxa" w:w="2160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Porcentaje Relativo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Tipo de Arma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ARMA DE FUEGO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4112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88.74%</w:t>
            </w:r>
          </w:p>
        </w:tc>
      </w:tr>
      <w:tr>
        <w:tc>
          <w:tcPr>
            <w:tcW w:type="dxa" w:w="288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Tipo de Arma</w:t>
            </w:r>
          </w:p>
        </w:tc>
        <w:tc>
          <w:tcPr>
            <w:tcW w:type="dxa" w:w="288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ARMA BLANCA</w:t>
            </w:r>
          </w:p>
        </w:tc>
        <w:tc>
          <w:tcPr>
            <w:tcW w:type="dxa" w:w="21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268</w:t>
            </w:r>
          </w:p>
        </w:tc>
        <w:tc>
          <w:tcPr>
            <w:tcW w:type="dxa" w:w="21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5.78%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Tipo de Arma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OTROS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193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4.16%</w:t>
            </w:r>
          </w:p>
        </w:tc>
      </w:tr>
      <w:tr>
        <w:tc>
          <w:tcPr>
            <w:tcW w:type="dxa" w:w="288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Tipo de Arma</w:t>
            </w:r>
          </w:p>
        </w:tc>
        <w:tc>
          <w:tcPr>
            <w:tcW w:type="dxa" w:w="288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OBJETO CONTUNDENTE</w:t>
            </w:r>
          </w:p>
        </w:tc>
        <w:tc>
          <w:tcPr>
            <w:tcW w:type="dxa" w:w="21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61</w:t>
            </w:r>
          </w:p>
        </w:tc>
        <w:tc>
          <w:tcPr>
            <w:tcW w:type="dxa" w:w="21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1.32%</w:t>
            </w:r>
          </w:p>
        </w:tc>
      </w:tr>
    </w:tbl>
    <w:p>
      <w:pPr>
        <w:spacing w:before="240"/>
      </w:pPr>
    </w:p>
    <w:p>
      <w:r>
        <w:rPr>
          <w:rFonts w:ascii="Arial" w:hAnsi="Arial"/>
          <w:b/>
          <w:i w:val="0"/>
          <w:sz w:val="20"/>
        </w:rPr>
        <w:t>Tabla 3:</w:t>
      </w:r>
    </w:p>
    <w:p>
      <w:pPr>
        <w:spacing w:after="120"/>
      </w:pPr>
      <w:r>
        <w:rPr>
          <w:rFonts w:ascii="Arial" w:hAnsi="Arial"/>
          <w:b w:val="0"/>
          <w:i/>
          <w:sz w:val="20"/>
        </w:rPr>
        <w:t>Comparación Matemática de Matrices de Vecindad Queen y Rook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600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Métrica</w:t>
            </w:r>
          </w:p>
        </w:tc>
        <w:tc>
          <w:tcPr>
            <w:tcW w:type="dxa" w:w="2880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Matriz Queen</w:t>
            </w:r>
          </w:p>
        </w:tc>
        <w:tc>
          <w:tcPr>
            <w:tcW w:type="dxa" w:w="2880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Matriz Rook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Número de Observaciones (N)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244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244</w:t>
            </w:r>
          </w:p>
        </w:tc>
      </w:tr>
      <w:tr>
        <w:tc>
          <w:tcPr>
            <w:tcW w:type="dxa" w:w="360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Islas Iniciales (sin conectar)</w:t>
            </w:r>
          </w:p>
        </w:tc>
        <w:tc>
          <w:tcPr>
            <w:tcW w:type="dxa" w:w="288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288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Islas Finales (conectadas)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360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Promedio de Vecinos</w:t>
            </w:r>
          </w:p>
        </w:tc>
        <w:tc>
          <w:tcPr>
            <w:tcW w:type="dxa" w:w="288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5.25</w:t>
            </w:r>
          </w:p>
        </w:tc>
        <w:tc>
          <w:tcPr>
            <w:tcW w:type="dxa" w:w="288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4.78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Densidad de la Matriz (%)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2.15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1.96</w:t>
            </w:r>
          </w:p>
        </w:tc>
      </w:tr>
      <w:tr>
        <w:tc>
          <w:tcPr>
            <w:tcW w:type="dxa" w:w="360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Máximo número de vecinos</w:t>
            </w:r>
          </w:p>
        </w:tc>
        <w:tc>
          <w:tcPr>
            <w:tcW w:type="dxa" w:w="288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17</w:t>
            </w:r>
          </w:p>
        </w:tc>
        <w:tc>
          <w:tcPr>
            <w:tcW w:type="dxa" w:w="288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17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Mínimo número de vecinos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360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Matriz Seleccionada para el Modelo Final</w:t>
            </w:r>
          </w:p>
        </w:tc>
        <w:tc>
          <w:tcPr>
            <w:tcW w:type="dxa" w:w="288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SÍ (Queen, 4 islas de Puná conectadas)</w:t>
            </w:r>
          </w:p>
        </w:tc>
        <w:tc>
          <w:tcPr>
            <w:tcW w:type="dxa" w:w="288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NO (Descartada)</w:t>
            </w:r>
          </w:p>
        </w:tc>
      </w:tr>
    </w:tbl>
    <w:p>
      <w:pPr>
        <w:spacing w:before="240"/>
      </w:pPr>
    </w:p>
    <w:p>
      <w:r>
        <w:rPr>
          <w:rFonts w:ascii="Arial" w:hAnsi="Arial"/>
          <w:b/>
          <w:i w:val="0"/>
          <w:sz w:val="20"/>
        </w:rPr>
        <w:t>Tabla 4:</w:t>
      </w:r>
    </w:p>
    <w:p>
      <w:pPr>
        <w:spacing w:after="120"/>
      </w:pPr>
      <w:r>
        <w:rPr>
          <w:rFonts w:ascii="Arial" w:hAnsi="Arial"/>
          <w:b w:val="0"/>
          <w:i/>
          <w:sz w:val="20"/>
        </w:rPr>
        <w:t>Índice de Autocorrelación Espacial Global de Moran para Homicidios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4320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Métrica</w:t>
            </w:r>
          </w:p>
        </w:tc>
        <w:tc>
          <w:tcPr>
            <w:tcW w:type="dxa" w:w="3600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Indice Moran I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0.1103</w:t>
            </w:r>
          </w:p>
        </w:tc>
      </w:tr>
      <w:tr>
        <w:tc>
          <w:tcPr>
            <w:tcW w:type="dxa" w:w="432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Esperanza E(I)</w:t>
            </w:r>
          </w:p>
        </w:tc>
        <w:tc>
          <w:tcPr>
            <w:tcW w:type="dxa" w:w="360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-0.0041</w:t>
            </w:r>
          </w:p>
        </w:tc>
      </w:tr>
      <w:tr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Z-Score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2.83</w:t>
            </w:r>
          </w:p>
        </w:tc>
      </w:tr>
      <w:tr>
        <w:tc>
          <w:tcPr>
            <w:tcW w:type="dxa" w:w="432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Pseudo p-valor</w:t>
            </w:r>
          </w:p>
        </w:tc>
        <w:tc>
          <w:tcPr>
            <w:tcW w:type="dxa" w:w="360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0.0079</w:t>
            </w:r>
          </w:p>
        </w:tc>
      </w:tr>
      <w:tr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Permutaciones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9999</w:t>
            </w:r>
          </w:p>
        </w:tc>
      </w:tr>
      <w:tr>
        <w:tc>
          <w:tcPr>
            <w:tcW w:type="dxa" w:w="432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Semilla Aleatoria</w:t>
            </w:r>
          </w:p>
        </w:tc>
        <w:tc>
          <w:tcPr>
            <w:tcW w:type="dxa" w:w="360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42</w:t>
            </w:r>
          </w:p>
        </w:tc>
      </w:tr>
      <w:tr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Matriz Espacial Utilizada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Queen (4 islas de Puná conectadas)</w:t>
            </w:r>
          </w:p>
        </w:tc>
      </w:tr>
      <w:tr>
        <w:tc>
          <w:tcPr>
            <w:tcW w:type="dxa" w:w="432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Promedio Vecinos Matriz</w:t>
            </w:r>
          </w:p>
        </w:tc>
        <w:tc>
          <w:tcPr>
            <w:tcW w:type="dxa" w:w="360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5.25</w:t>
            </w:r>
          </w:p>
        </w:tc>
      </w:tr>
    </w:tbl>
    <w:p>
      <w:pPr>
        <w:spacing w:before="240"/>
      </w:pPr>
    </w:p>
    <w:p>
      <w:r>
        <w:rPr>
          <w:rFonts w:ascii="Arial" w:hAnsi="Arial"/>
          <w:b/>
          <w:i w:val="0"/>
          <w:sz w:val="20"/>
        </w:rPr>
        <w:t>Tabla 5:</w:t>
      </w:r>
    </w:p>
    <w:p>
      <w:pPr>
        <w:spacing w:after="120"/>
      </w:pPr>
      <w:r>
        <w:rPr>
          <w:rFonts w:ascii="Arial" w:hAnsi="Arial"/>
          <w:b w:val="0"/>
          <w:i/>
          <w:sz w:val="20"/>
        </w:rPr>
        <w:t>Comparativa de Ajuste entre Modelos Poisson y Binomial Negativo Frecuentistas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600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Métrica</w:t>
            </w:r>
          </w:p>
        </w:tc>
        <w:tc>
          <w:tcPr>
            <w:tcW w:type="dxa" w:w="2880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Modelo Poisson</w:t>
            </w:r>
          </w:p>
        </w:tc>
        <w:tc>
          <w:tcPr>
            <w:tcW w:type="dxa" w:w="2880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Modelo Binomial Negativo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Log-Likelihood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-3550.6550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-1553.4064</w:t>
            </w:r>
          </w:p>
        </w:tc>
      </w:tr>
      <w:tr>
        <w:tc>
          <w:tcPr>
            <w:tcW w:type="dxa" w:w="360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AIC (Akaike)</w:t>
            </w:r>
          </w:p>
        </w:tc>
        <w:tc>
          <w:tcPr>
            <w:tcW w:type="dxa" w:w="288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7107.31</w:t>
            </w:r>
          </w:p>
        </w:tc>
        <w:tc>
          <w:tcPr>
            <w:tcW w:type="dxa" w:w="288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3114.81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BIC (Bayesiano)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7119.88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3131.57</w:t>
            </w:r>
          </w:p>
        </w:tc>
      </w:tr>
    </w:tbl>
    <w:p>
      <w:pPr>
        <w:spacing w:before="240"/>
      </w:pPr>
    </w:p>
    <w:p>
      <w:r>
        <w:rPr>
          <w:rFonts w:ascii="Arial" w:hAnsi="Arial"/>
          <w:b/>
          <w:i w:val="0"/>
          <w:sz w:val="20"/>
        </w:rPr>
        <w:t>Tabla 6:</w:t>
      </w:r>
    </w:p>
    <w:p>
      <w:pPr>
        <w:spacing w:after="120"/>
      </w:pPr>
      <w:r>
        <w:rPr>
          <w:rFonts w:ascii="Arial" w:hAnsi="Arial"/>
          <w:b w:val="0"/>
          <w:i/>
          <w:sz w:val="20"/>
        </w:rPr>
        <w:t>Top 10 Subcircuitos con Mayor Riesgo Relativo Estimado mediante el Modelo Bayesiano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none"/>
          <w:right w:val="none"/>
          <w:insideH w:val="single" w:sz="4" w:space="0" w:color="D3D3D3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Subcircuito</w:t>
            </w:r>
          </w:p>
        </w:tc>
        <w:tc>
          <w:tcPr>
            <w:tcW w:type="dxa" w:w="2160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Circuito</w:t>
            </w:r>
          </w:p>
        </w:tc>
        <w:tc>
          <w:tcPr>
            <w:tcW w:type="dxa" w:w="2160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Distrito</w:t>
            </w:r>
          </w:p>
        </w:tc>
        <w:tc>
          <w:tcPr>
            <w:tcW w:type="dxa" w:w="2160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Riesgo Relativo (RR)</w:t>
            </w:r>
          </w:p>
        </w:tc>
        <w:tc>
          <w:tcPr>
            <w:tcW w:type="dxa" w:w="1440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P(RR &gt; 1.5)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SAN FRANCISCO 2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SAN FRANCISCO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PASCUALES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3.81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0.9800</w:t>
            </w:r>
          </w:p>
        </w:tc>
      </w:tr>
      <w:tr>
        <w:tc>
          <w:tcPr>
            <w:tcW w:type="dxa" w:w="288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GUASMO 1</w:t>
            </w:r>
          </w:p>
        </w:tc>
        <w:tc>
          <w:tcPr>
            <w:tcW w:type="dxa" w:w="21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GUASMO</w:t>
            </w:r>
          </w:p>
        </w:tc>
        <w:tc>
          <w:tcPr>
            <w:tcW w:type="dxa" w:w="21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SUR</w:t>
            </w:r>
          </w:p>
        </w:tc>
        <w:tc>
          <w:tcPr>
            <w:tcW w:type="dxa" w:w="21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3.30</w:t>
            </w:r>
          </w:p>
        </w:tc>
        <w:tc>
          <w:tcPr>
            <w:tcW w:type="dxa" w:w="144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0.9560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NUEVA PROSPERINA 2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NUEVA PROSPERINA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NUEVA PROSPERINA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3.28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0.9535</w:t>
            </w:r>
          </w:p>
        </w:tc>
      </w:tr>
      <w:tr>
        <w:tc>
          <w:tcPr>
            <w:tcW w:type="dxa" w:w="288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PROGRESO 1</w:t>
            </w:r>
          </w:p>
        </w:tc>
        <w:tc>
          <w:tcPr>
            <w:tcW w:type="dxa" w:w="21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PROGRESO</w:t>
            </w:r>
          </w:p>
        </w:tc>
        <w:tc>
          <w:tcPr>
            <w:tcW w:type="dxa" w:w="21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PROGRESO</w:t>
            </w:r>
          </w:p>
        </w:tc>
        <w:tc>
          <w:tcPr>
            <w:tcW w:type="dxa" w:w="21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3.19</w:t>
            </w:r>
          </w:p>
        </w:tc>
        <w:tc>
          <w:tcPr>
            <w:tcW w:type="dxa" w:w="144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0.9500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PASCUALES 2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PASCUALES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PASCUALES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2.92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0.9135</w:t>
            </w:r>
          </w:p>
        </w:tc>
      </w:tr>
      <w:tr>
        <w:tc>
          <w:tcPr>
            <w:tcW w:type="dxa" w:w="288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NUEVO GUAYAQUIL 3</w:t>
            </w:r>
          </w:p>
        </w:tc>
        <w:tc>
          <w:tcPr>
            <w:tcW w:type="dxa" w:w="21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NUEVO GUAYAQUIL</w:t>
            </w:r>
          </w:p>
        </w:tc>
        <w:tc>
          <w:tcPr>
            <w:tcW w:type="dxa" w:w="21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NUEVA PROSPERINA</w:t>
            </w:r>
          </w:p>
        </w:tc>
        <w:tc>
          <w:tcPr>
            <w:tcW w:type="dxa" w:w="21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2.85</w:t>
            </w:r>
          </w:p>
        </w:tc>
        <w:tc>
          <w:tcPr>
            <w:tcW w:type="dxa" w:w="144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0.8920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PARAISO LA FLOR 4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PARAISO LA FLOR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NUEVA PROSPERINA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2.84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0.9175</w:t>
            </w:r>
          </w:p>
        </w:tc>
      </w:tr>
      <w:tr>
        <w:tc>
          <w:tcPr>
            <w:tcW w:type="dxa" w:w="288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POSORJA 1</w:t>
            </w:r>
          </w:p>
        </w:tc>
        <w:tc>
          <w:tcPr>
            <w:tcW w:type="dxa" w:w="21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POSORJA</w:t>
            </w:r>
          </w:p>
        </w:tc>
        <w:tc>
          <w:tcPr>
            <w:tcW w:type="dxa" w:w="21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PROGRESO</w:t>
            </w:r>
          </w:p>
        </w:tc>
        <w:tc>
          <w:tcPr>
            <w:tcW w:type="dxa" w:w="21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2.68</w:t>
            </w:r>
          </w:p>
        </w:tc>
        <w:tc>
          <w:tcPr>
            <w:tcW w:type="dxa" w:w="144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0.8930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NUEVA PROSPERINA 3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NUEVA PROSPERINA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NUEVA PROSPERINA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2.51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0.8860</w:t>
            </w:r>
          </w:p>
        </w:tc>
      </w:tr>
      <w:tr>
        <w:tc>
          <w:tcPr>
            <w:tcW w:type="dxa" w:w="288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PASCUALES 3</w:t>
            </w:r>
          </w:p>
        </w:tc>
        <w:tc>
          <w:tcPr>
            <w:tcW w:type="dxa" w:w="21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PASCUALES</w:t>
            </w:r>
          </w:p>
        </w:tc>
        <w:tc>
          <w:tcPr>
            <w:tcW w:type="dxa" w:w="21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PASCUALES</w:t>
            </w:r>
          </w:p>
        </w:tc>
        <w:tc>
          <w:tcPr>
            <w:tcW w:type="dxa" w:w="216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2.40</w:t>
            </w:r>
          </w:p>
        </w:tc>
        <w:tc>
          <w:tcPr>
            <w:tcW w:type="dxa" w:w="144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0.8315</w:t>
            </w:r>
          </w:p>
        </w:tc>
      </w:tr>
    </w:tbl>
    <w:p>
      <w:pPr>
        <w:spacing w:before="240"/>
      </w:pPr>
    </w:p>
    <w:p>
      <w:r>
        <w:rPr>
          <w:rFonts w:ascii="Arial" w:hAnsi="Arial"/>
          <w:b/>
          <w:i w:val="0"/>
          <w:sz w:val="20"/>
        </w:rPr>
        <w:t>Tabla 7:</w:t>
      </w:r>
    </w:p>
    <w:p>
      <w:pPr>
        <w:spacing w:after="120"/>
      </w:pPr>
      <w:r>
        <w:rPr>
          <w:rFonts w:ascii="Arial" w:hAnsi="Arial"/>
          <w:b w:val="0"/>
          <w:i/>
          <w:sz w:val="20"/>
        </w:rPr>
        <w:t>Resumen del Comportamiento Espacio-Temporal de los Subcircuitos (2024-2026)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5040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Clasificación Dinámica de Hotspots</w:t>
            </w:r>
          </w:p>
        </w:tc>
        <w:tc>
          <w:tcPr>
            <w:tcW w:type="dxa" w:w="2880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Número de Subcircuitos</w:t>
            </w:r>
          </w:p>
        </w:tc>
      </w:tr>
      <w:tr>
        <w:tc>
          <w:tcPr>
            <w:tcW w:type="dxa" w:w="5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ESTABLE / BAJO RIESGO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184</w:t>
            </w:r>
          </w:p>
        </w:tc>
      </w:tr>
      <w:tr>
        <w:tc>
          <w:tcPr>
            <w:tcW w:type="dxa" w:w="504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HOTSPOT PERSISTENTE</w:t>
            </w:r>
          </w:p>
        </w:tc>
        <w:tc>
          <w:tcPr>
            <w:tcW w:type="dxa" w:w="288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60</w:t>
            </w:r>
          </w:p>
        </w:tc>
      </w:tr>
    </w:tbl>
    <w:p>
      <w:pPr>
        <w:spacing w:before="240"/>
      </w:pPr>
    </w:p>
    <w:p>
      <w:r>
        <w:rPr>
          <w:rFonts w:ascii="Arial" w:hAnsi="Arial"/>
          <w:b/>
          <w:i w:val="0"/>
          <w:sz w:val="20"/>
        </w:rPr>
        <w:t>Tabla 8:</w:t>
      </w:r>
    </w:p>
    <w:p>
      <w:pPr>
        <w:spacing w:after="120"/>
      </w:pPr>
      <w:r>
        <w:rPr>
          <w:rFonts w:ascii="Arial" w:hAnsi="Arial"/>
          <w:b w:val="0"/>
          <w:i/>
          <w:sz w:val="20"/>
        </w:rPr>
        <w:t>Comparación de Modelos Bayesianos mediante Validación Cruzada LOO-CV (Escala Log ELPD)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none"/>
          <w:right w:val="none"/>
          <w:insideH w:val="single" w:sz="4" w:space="0" w:color="D3D3D3"/>
          <w:insideV w:val="none"/>
        </w:tblBorders>
      </w:tblPr>
      <w:tblGrid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</w:tblGrid>
      <w:tr>
        <w:tc>
          <w:tcPr>
            <w:tcW w:type="dxa" w:w="493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Modelo</w:t>
            </w:r>
          </w:p>
        </w:tc>
        <w:tc>
          <w:tcPr>
            <w:tcW w:type="dxa" w:w="493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rank</w:t>
            </w:r>
          </w:p>
        </w:tc>
        <w:tc>
          <w:tcPr>
            <w:tcW w:type="dxa" w:w="493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elpd_loo</w:t>
            </w:r>
          </w:p>
        </w:tc>
        <w:tc>
          <w:tcPr>
            <w:tcW w:type="dxa" w:w="493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p_loo</w:t>
            </w:r>
          </w:p>
        </w:tc>
        <w:tc>
          <w:tcPr>
            <w:tcW w:type="dxa" w:w="493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elpd_diff</w:t>
            </w:r>
          </w:p>
        </w:tc>
        <w:tc>
          <w:tcPr>
            <w:tcW w:type="dxa" w:w="493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weight</w:t>
            </w:r>
          </w:p>
        </w:tc>
        <w:tc>
          <w:tcPr>
            <w:tcW w:type="dxa" w:w="493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se</w:t>
            </w:r>
          </w:p>
        </w:tc>
        <w:tc>
          <w:tcPr>
            <w:tcW w:type="dxa" w:w="493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dse</w:t>
            </w:r>
          </w:p>
        </w:tc>
        <w:tc>
          <w:tcPr>
            <w:tcW w:type="dxa" w:w="493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warning</w:t>
            </w:r>
          </w:p>
        </w:tc>
        <w:tc>
          <w:tcPr>
            <w:tcW w:type="dxa" w:w="493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scale</w:t>
            </w:r>
          </w:p>
        </w:tc>
        <w:tc>
          <w:tcPr>
            <w:tcW w:type="dxa" w:w="493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ELBO_Final</w:t>
            </w:r>
          </w:p>
        </w:tc>
        <w:tc>
          <w:tcPr>
            <w:tcW w:type="dxa" w:w="493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Iteraciones_ADVI</w:t>
            </w:r>
          </w:p>
        </w:tc>
        <w:tc>
          <w:tcPr>
            <w:tcW w:type="dxa" w:w="493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Convergio</w:t>
            </w:r>
          </w:p>
        </w:tc>
        <w:tc>
          <w:tcPr>
            <w:tcW w:type="dxa" w:w="493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k &lt; 0.5</w:t>
            </w:r>
          </w:p>
        </w:tc>
        <w:tc>
          <w:tcPr>
            <w:tcW w:type="dxa" w:w="493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0.5 &lt;= k &lt;= 0.7</w:t>
            </w:r>
          </w:p>
        </w:tc>
        <w:tc>
          <w:tcPr>
            <w:tcW w:type="dxa" w:w="493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k &gt; 0.7</w:t>
            </w:r>
          </w:p>
        </w:tc>
        <w:tc>
          <w:tcPr>
            <w:tcW w:type="dxa" w:w="493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Advertencia_Pareto_k</w:t>
            </w:r>
          </w:p>
        </w:tc>
        <w:tc>
          <w:tcPr>
            <w:tcW w:type="dxa" w:w="493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elpd_waic</w:t>
            </w:r>
          </w:p>
        </w:tc>
        <w:tc>
          <w:tcPr>
            <w:tcW w:type="dxa" w:w="493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p_waic</w:t>
            </w:r>
          </w:p>
        </w:tc>
      </w:tr>
      <w:tr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Binomial Negativa (ICAR + No Estructurado)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-1504.9856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247.82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0.0000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0.8745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30.50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0.0000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True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log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-3336.3603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40000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False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213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131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144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Advertencia: observaciones con k&gt;0.7 presentes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-1436.7978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179.63</w:t>
            </w:r>
          </w:p>
        </w:tc>
      </w:tr>
      <w:tr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BYM2 Binomial Negativo (Prior Beta(0.5, 0.5))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-1537.0563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231.32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32.07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0.0000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30.86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2.77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True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log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-3359.5750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40000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False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242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100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146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Advertencia: observaciones con k&gt;0.7 presentes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-1473.7243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167.98</w:t>
            </w:r>
          </w:p>
        </w:tc>
      </w:tr>
      <w:tr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Binomial Negativa (ICAR)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-1560.5872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11.02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55.60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0.1255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26.90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12.06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True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log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-1662.8073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40000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False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355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97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36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Advertencia: observaciones con k&gt;0.7 presentes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-1560.3207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10.75</w:t>
            </w:r>
          </w:p>
        </w:tc>
      </w:tr>
      <w:tr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Poisson Jerárquico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-1951.1522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825.31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446.17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0.0000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65.02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45.26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True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log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-1651.2838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40000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False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61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116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311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Advertencia: observaciones con k&gt;0.7 presentes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-1728.3374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602.50</w:t>
            </w:r>
          </w:p>
        </w:tc>
      </w:tr>
    </w:tbl>
    <w:p>
      <w:pPr>
        <w:spacing w:before="240"/>
      </w:pPr>
    </w:p>
    <w:p>
      <w:pPr>
        <w:spacing w:after="240" w:line="276" w:lineRule="auto"/>
      </w:pPr>
      <w:r>
        <w:rPr>
          <w:rFonts w:ascii="Arial" w:hAnsi="Arial"/>
          <w:b/>
          <w:i w:val="0"/>
          <w:sz w:val="21"/>
        </w:rPr>
        <w:t>Nota Metodológica sobre la Inferencia Variacional (ADVI), Comparación de Modelos y Validación con NUTS:</w:t>
        <w:br/>
      </w:r>
      <w:r>
        <w:rPr>
          <w:rFonts w:ascii="Arial" w:hAnsi="Arial"/>
          <w:b w:val="0"/>
          <w:i w:val="0"/>
          <w:sz w:val="19"/>
        </w:rPr>
        <w:t>1. Inferencia Principal mediante ADVI: El método principal de estimación de la tesis es Inferencia Variacional por Diferenciación Automática (ADVI) en PyMC, optimizando la evidencia del límite inferior (ELBO) con tolerancia relativa de 1e-4 hasta alcanzar convergencia en meseta. ADVI permite aproximar de manera computacionalmente escalable distribuciones posteriores complejas en modelos espaciales de alta dimensión.</w:t>
        <w:br/>
        <w:t>2. Comparación entre Modelo (c) y Modelo (d): En la comparación mediante validación cruzada fuera de muestra (LOO-CV), la diferencia de densidad predictiva esperada (ELPD_LOO) entre la formulación de Besag (ICAR + heterogeneidad no estructurada) y la formulación BYM2 con prior Beta(0.5, 0.5) es inferior a dos errores estándar de la diferencia (|ΔELPD| &lt; 2·dse). Por tanto, la diferencia no es estadísticamente significativa y ambos modelos empatan en capacidad predictiva; no se puede afirmar que BYM2 supere a Besag.</w:t>
        <w:br/>
        <w:t>3. Diagnóstico de Pareto-k: En paneles cortos (T = 2 años) sobre 244 subcircuitos, la exclusión de una observación modifica la distribución condicional de los efectos latentes locales, elevando las ponderaciones de importancia con valores de k &gt; 0.7. Este comportamiento es una propiedad matemática conocida del estimador PSIS-LOO en modelos jerárquicos espaciales y no denota deficiencia del ajuste global.</w:t>
        <w:br/>
        <w:t>4. Parámetro de Mezcla Espacial (rho): En el modelo BYM2, rho presenta un intervalo de credibilidad HDI 95% amplio (media ~0.81, HDI [0.64, 1.00]), demostrando que la evidencia empírica no separa taxativamente entre la varianza espacial estructurada de contigüidad y la heterogeneidad zonal no estructurada total.</w:t>
        <w:br/>
        <w:t>5. Contraste Anual (2025 vs. 2024): Al modelar dos años completos, un proceso autorregresivo RW1 no es paramétricamente identificable frente al intercepto cantonal. La especificación de un contraste fijo de año (beta_year con 2024 como referencia) resuelve la identificabilidad y provee una estimación directa de la variación cantonal en 2025.</w:t>
        <w:br/>
        <w:t>6. Validación Metodológica contra NUTS: Como prueba de contraste, el modelo final se ajustó también con NUTS MCMC (muestreo exacto). La comparación demuestra que ADVI recupera con alta fidelidad las medias posteriores y la estructura espacial (correlación de riesgos relativos r &gt; 0.98), existiendo la esperable subestimación de incertidumbre en las colas propia de las aproximaciones variacionales de campo medio.</w:t>
      </w:r>
    </w:p>
    <w:p>
      <w:r>
        <w:rPr>
          <w:rFonts w:ascii="Arial" w:hAnsi="Arial"/>
          <w:b/>
          <w:i w:val="0"/>
          <w:sz w:val="20"/>
        </w:rPr>
        <w:t>Tabla 9:</w:t>
      </w:r>
    </w:p>
    <w:p>
      <w:pPr>
        <w:spacing w:after="120"/>
      </w:pPr>
      <w:r>
        <w:rPr>
          <w:rFonts w:ascii="Arial" w:hAnsi="Arial"/>
          <w:b w:val="0"/>
          <w:i/>
          <w:sz w:val="20"/>
        </w:rPr>
        <w:t>Estimación del Contraste Fijo Anual de Riesgo de Homicidios (2025 frente a 2024)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none"/>
          <w:right w:val="none"/>
          <w:insideH w:val="single" w:sz="4" w:space="0" w:color="D3D3D3"/>
          <w:insideV w:val="none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Año</w:t>
            </w:r>
          </w:p>
        </w:tc>
        <w:tc>
          <w:tcPr>
            <w:tcW w:type="dxa" w:w="936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Coeficiente_Log_Media</w:t>
            </w:r>
          </w:p>
        </w:tc>
        <w:tc>
          <w:tcPr>
            <w:tcW w:type="dxa" w:w="936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Coeficiente_Log_Mediana</w:t>
            </w:r>
          </w:p>
        </w:tc>
        <w:tc>
          <w:tcPr>
            <w:tcW w:type="dxa" w:w="936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HDI_inf_95</w:t>
            </w:r>
          </w:p>
        </w:tc>
        <w:tc>
          <w:tcPr>
            <w:tcW w:type="dxa" w:w="936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HDI_sup_95</w:t>
            </w:r>
          </w:p>
        </w:tc>
        <w:tc>
          <w:tcPr>
            <w:tcW w:type="dxa" w:w="936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Riesgo_Relativo_Media</w:t>
            </w:r>
          </w:p>
        </w:tc>
        <w:tc>
          <w:tcPr>
            <w:tcW w:type="dxa" w:w="936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Riesgo_Relativo_Mediana</w:t>
            </w:r>
          </w:p>
        </w:tc>
        <w:tc>
          <w:tcPr>
            <w:tcW w:type="dxa" w:w="936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RR_HDI_inf_95</w:t>
            </w:r>
          </w:p>
        </w:tc>
        <w:tc>
          <w:tcPr>
            <w:tcW w:type="dxa" w:w="936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RR_HDI_sup_95</w:t>
            </w:r>
          </w:p>
        </w:tc>
        <w:tc>
          <w:tcPr>
            <w:tcW w:type="dxa" w:w="936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Interpretacion</w:t>
            </w:r>
          </w:p>
        </w:tc>
      </w:tr>
      <w:tr>
        <w:tc>
          <w:tcPr>
            <w:tcW w:type="dxa" w:w="93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2024</w:t>
            </w:r>
          </w:p>
        </w:tc>
        <w:tc>
          <w:tcPr>
            <w:tcW w:type="dxa" w:w="93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0.0000</w:t>
            </w:r>
          </w:p>
        </w:tc>
        <w:tc>
          <w:tcPr>
            <w:tcW w:type="dxa" w:w="93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0.0000</w:t>
            </w:r>
          </w:p>
        </w:tc>
        <w:tc>
          <w:tcPr>
            <w:tcW w:type="dxa" w:w="93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0.0000</w:t>
            </w:r>
          </w:p>
        </w:tc>
        <w:tc>
          <w:tcPr>
            <w:tcW w:type="dxa" w:w="93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0.0000</w:t>
            </w:r>
          </w:p>
        </w:tc>
        <w:tc>
          <w:tcPr>
            <w:tcW w:type="dxa" w:w="93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1.00</w:t>
            </w:r>
          </w:p>
        </w:tc>
        <w:tc>
          <w:tcPr>
            <w:tcW w:type="dxa" w:w="93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1.00</w:t>
            </w:r>
          </w:p>
        </w:tc>
        <w:tc>
          <w:tcPr>
            <w:tcW w:type="dxa" w:w="93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1.00</w:t>
            </w:r>
          </w:p>
        </w:tc>
        <w:tc>
          <w:tcPr>
            <w:tcW w:type="dxa" w:w="93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1.00</w:t>
            </w:r>
          </w:p>
        </w:tc>
        <w:tc>
          <w:tcPr>
            <w:tcW w:type="dxa" w:w="93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Línea base cantonal de referencia (2024)</w:t>
            </w:r>
          </w:p>
        </w:tc>
      </w:tr>
      <w:tr>
        <w:tc>
          <w:tcPr>
            <w:tcW w:type="dxa" w:w="936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2025</w:t>
            </w:r>
          </w:p>
        </w:tc>
        <w:tc>
          <w:tcPr>
            <w:tcW w:type="dxa" w:w="936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0.3175</w:t>
            </w:r>
          </w:p>
        </w:tc>
        <w:tc>
          <w:tcPr>
            <w:tcW w:type="dxa" w:w="936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0.3157</w:t>
            </w:r>
          </w:p>
        </w:tc>
        <w:tc>
          <w:tcPr>
            <w:tcW w:type="dxa" w:w="936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0.1995</w:t>
            </w:r>
          </w:p>
        </w:tc>
        <w:tc>
          <w:tcPr>
            <w:tcW w:type="dxa" w:w="936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0.4422</w:t>
            </w:r>
          </w:p>
        </w:tc>
        <w:tc>
          <w:tcPr>
            <w:tcW w:type="dxa" w:w="936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1.38</w:t>
            </w:r>
          </w:p>
        </w:tc>
        <w:tc>
          <w:tcPr>
            <w:tcW w:type="dxa" w:w="936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1.37</w:t>
            </w:r>
          </w:p>
        </w:tc>
        <w:tc>
          <w:tcPr>
            <w:tcW w:type="dxa" w:w="936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1.22</w:t>
            </w:r>
          </w:p>
        </w:tc>
        <w:tc>
          <w:tcPr>
            <w:tcW w:type="dxa" w:w="936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1.56</w:t>
            </w:r>
          </w:p>
        </w:tc>
        <w:tc>
          <w:tcPr>
            <w:tcW w:type="dxa" w:w="936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Variación neta estimada de +37.1% en la tasa de homicidios en 2025 frente a 2024</w:t>
            </w:r>
          </w:p>
        </w:tc>
      </w:tr>
    </w:tbl>
    <w:p>
      <w:pPr>
        <w:spacing w:before="240"/>
      </w:pPr>
    </w:p>
    <w:p>
      <w:r>
        <w:rPr>
          <w:rFonts w:ascii="Arial" w:hAnsi="Arial"/>
          <w:b/>
          <w:i w:val="0"/>
          <w:sz w:val="20"/>
        </w:rPr>
        <w:t>Tabla 10:</w:t>
      </w:r>
    </w:p>
    <w:p>
      <w:pPr>
        <w:spacing w:after="120"/>
      </w:pPr>
      <w:r>
        <w:rPr>
          <w:rFonts w:ascii="Arial" w:hAnsi="Arial"/>
          <w:b w:val="0"/>
          <w:i/>
          <w:sz w:val="20"/>
        </w:rPr>
        <w:t>Diagnósticos de Inferencia Variacional ADVI y Métricas de Convergencia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Diagnóstico</w:t>
            </w:r>
          </w:p>
        </w:tc>
        <w:tc>
          <w:tcPr>
            <w:tcW w:type="dxa" w:w="4680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Método de Inferencia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ADVI (Automatic Differentiation Variational Inference)</w:t>
            </w:r>
          </w:p>
        </w:tc>
      </w:tr>
      <w:tr>
        <w:tc>
          <w:tcPr>
            <w:tcW w:type="dxa" w:w="468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Muestras Posteriores Extraídas</w:t>
            </w:r>
          </w:p>
        </w:tc>
        <w:tc>
          <w:tcPr>
            <w:tcW w:type="dxa" w:w="468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2000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Criterio de Convergencia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CheckParametersConvergence (tolerancia 1e-4)</w:t>
            </w:r>
          </w:p>
        </w:tc>
      </w:tr>
      <w:tr>
        <w:tc>
          <w:tcPr>
            <w:tcW w:type="dxa" w:w="468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ELPD_WAIC</w:t>
            </w:r>
          </w:p>
        </w:tc>
        <w:tc>
          <w:tcPr>
            <w:tcW w:type="dxa" w:w="468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-1473.7243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ELPD_WAIC_SE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26.17</w:t>
            </w:r>
          </w:p>
        </w:tc>
      </w:tr>
      <w:tr>
        <w:tc>
          <w:tcPr>
            <w:tcW w:type="dxa" w:w="468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p_WAIC</w:t>
            </w:r>
          </w:p>
        </w:tc>
        <w:tc>
          <w:tcPr>
            <w:tcW w:type="dxa" w:w="468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167.98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ELPD_LOO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-1537.0563</w:t>
            </w:r>
          </w:p>
        </w:tc>
      </w:tr>
      <w:tr>
        <w:tc>
          <w:tcPr>
            <w:tcW w:type="dxa" w:w="468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ELPD_LOO_SE</w:t>
            </w:r>
          </w:p>
        </w:tc>
        <w:tc>
          <w:tcPr>
            <w:tcW w:type="dxa" w:w="468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30.86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p_LOO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231.32</w:t>
            </w:r>
          </w:p>
        </w:tc>
      </w:tr>
      <w:tr>
        <w:tc>
          <w:tcPr>
            <w:tcW w:type="dxa" w:w="468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Pareto-k &lt; 0.5 (Observaciones)</w:t>
            </w:r>
          </w:p>
        </w:tc>
        <w:tc>
          <w:tcPr>
            <w:tcW w:type="dxa" w:w="468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242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Pareto-k [0.5, 0.7] (Observaciones)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100</w:t>
            </w:r>
          </w:p>
        </w:tc>
      </w:tr>
      <w:tr>
        <w:tc>
          <w:tcPr>
            <w:tcW w:type="dxa" w:w="468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Pareto-k &gt; 0.7 (Observaciones)</w:t>
            </w:r>
          </w:p>
        </w:tc>
        <w:tc>
          <w:tcPr>
            <w:tcW w:type="dxa" w:w="468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146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Advertencia Pareto-k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Advertencia: observaciones con k&gt;0.7 presentes</w:t>
            </w:r>
          </w:p>
        </w:tc>
      </w:tr>
      <w:tr>
        <w:tc>
          <w:tcPr>
            <w:tcW w:type="dxa" w:w="468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Rho Media Posterior</w:t>
            </w:r>
          </w:p>
        </w:tc>
        <w:tc>
          <w:tcPr>
            <w:tcW w:type="dxa" w:w="468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0.0274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Rho HDI 95% Inferior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0.0009</w:t>
            </w:r>
          </w:p>
        </w:tc>
      </w:tr>
      <w:tr>
        <w:tc>
          <w:tcPr>
            <w:tcW w:type="dxa" w:w="468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Rho HDI 95% Superior</w:t>
            </w:r>
          </w:p>
        </w:tc>
        <w:tc>
          <w:tcPr>
            <w:tcW w:type="dxa" w:w="468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0.1485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Beta_Year Media Posterior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0.3175</w:t>
            </w:r>
          </w:p>
        </w:tc>
      </w:tr>
      <w:tr>
        <w:tc>
          <w:tcPr>
            <w:tcW w:type="dxa" w:w="468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Beta_Year HDI 95% Inferior</w:t>
            </w:r>
          </w:p>
        </w:tc>
        <w:tc>
          <w:tcPr>
            <w:tcW w:type="dxa" w:w="468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0.1995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Beta_Year HDI 95% Superior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0.4422</w:t>
            </w:r>
          </w:p>
        </w:tc>
      </w:tr>
    </w:tbl>
    <w:p>
      <w:pPr>
        <w:spacing w:before="240"/>
      </w:pPr>
    </w:p>
    <w:p>
      <w:r>
        <w:rPr>
          <w:rFonts w:ascii="Arial" w:hAnsi="Arial"/>
          <w:b/>
          <w:i w:val="0"/>
          <w:sz w:val="20"/>
        </w:rPr>
        <w:t>Tabla 11:</w:t>
      </w:r>
    </w:p>
    <w:p>
      <w:pPr>
        <w:spacing w:after="120"/>
      </w:pPr>
      <w:r>
        <w:rPr>
          <w:rFonts w:ascii="Arial" w:hAnsi="Arial"/>
          <w:b w:val="0"/>
          <w:i/>
          <w:sz w:val="20"/>
        </w:rPr>
        <w:t>Evaluación de Estabilidad del Modelo Final ADVI ante Variación de Semillas Iniciales (3 Semillas)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none"/>
          <w:right w:val="none"/>
          <w:insideH w:val="single" w:sz="4" w:space="0" w:color="D3D3D3"/>
          <w:insideV w:val="none"/>
        </w:tblBorders>
      </w:tblPr>
      <w:tblGrid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</w:tblGrid>
      <w:tr>
        <w:tc>
          <w:tcPr>
            <w:tcW w:type="dxa" w:w="493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Semilla</w:t>
            </w:r>
          </w:p>
        </w:tc>
        <w:tc>
          <w:tcPr>
            <w:tcW w:type="dxa" w:w="493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ELBO_Final</w:t>
            </w:r>
          </w:p>
        </w:tc>
        <w:tc>
          <w:tcPr>
            <w:tcW w:type="dxa" w:w="493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ELBO_Meseta_Media</w:t>
            </w:r>
          </w:p>
        </w:tc>
        <w:tc>
          <w:tcPr>
            <w:tcW w:type="dxa" w:w="493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Iteraciones</w:t>
            </w:r>
          </w:p>
        </w:tc>
        <w:tc>
          <w:tcPr>
            <w:tcW w:type="dxa" w:w="493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Convergio</w:t>
            </w:r>
          </w:p>
        </w:tc>
        <w:tc>
          <w:tcPr>
            <w:tcW w:type="dxa" w:w="493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alpha_media</w:t>
            </w:r>
          </w:p>
        </w:tc>
        <w:tc>
          <w:tcPr>
            <w:tcW w:type="dxa" w:w="493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alpha_sd</w:t>
            </w:r>
          </w:p>
        </w:tc>
        <w:tc>
          <w:tcPr>
            <w:tcW w:type="dxa" w:w="493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beta_year_media</w:t>
            </w:r>
          </w:p>
        </w:tc>
        <w:tc>
          <w:tcPr>
            <w:tcW w:type="dxa" w:w="493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beta_year_sd</w:t>
            </w:r>
          </w:p>
        </w:tc>
        <w:tc>
          <w:tcPr>
            <w:tcW w:type="dxa" w:w="493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beta_area_media</w:t>
            </w:r>
          </w:p>
        </w:tc>
        <w:tc>
          <w:tcPr>
            <w:tcW w:type="dxa" w:w="493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beta_area_sd</w:t>
            </w:r>
          </w:p>
        </w:tc>
        <w:tc>
          <w:tcPr>
            <w:tcW w:type="dxa" w:w="493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sigma_s_media</w:t>
            </w:r>
          </w:p>
        </w:tc>
        <w:tc>
          <w:tcPr>
            <w:tcW w:type="dxa" w:w="493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sigma_s_sd</w:t>
            </w:r>
          </w:p>
        </w:tc>
        <w:tc>
          <w:tcPr>
            <w:tcW w:type="dxa" w:w="493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rho_media</w:t>
            </w:r>
          </w:p>
        </w:tc>
        <w:tc>
          <w:tcPr>
            <w:tcW w:type="dxa" w:w="493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rho_sd</w:t>
            </w:r>
          </w:p>
        </w:tc>
        <w:tc>
          <w:tcPr>
            <w:tcW w:type="dxa" w:w="493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rho_hdi_inf</w:t>
            </w:r>
          </w:p>
        </w:tc>
        <w:tc>
          <w:tcPr>
            <w:tcW w:type="dxa" w:w="493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rho_hdi_sup</w:t>
            </w:r>
          </w:p>
        </w:tc>
        <w:tc>
          <w:tcPr>
            <w:tcW w:type="dxa" w:w="493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alpha_disp_media</w:t>
            </w:r>
          </w:p>
        </w:tc>
        <w:tc>
          <w:tcPr>
            <w:tcW w:type="dxa" w:w="493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alpha_disp_sd</w:t>
            </w:r>
          </w:p>
        </w:tc>
      </w:tr>
      <w:tr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42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-3359.5700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-1802.6400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40000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False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1.62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0.0449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0.3175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0.0613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0.1140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0.0316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0.9327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0.0470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0.0274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0.0429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0.0009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0.1485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1.90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0.1903</w:t>
            </w:r>
          </w:p>
        </w:tc>
      </w:tr>
      <w:tr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123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-2487.2200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-1770.6300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40000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False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1.62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0.0458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0.3158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0.0636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0.1174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0.0304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0.9409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0.0468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0.0271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0.0474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0.0009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0.1456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1.89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0.1876</w:t>
            </w:r>
          </w:p>
        </w:tc>
      </w:tr>
      <w:tr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999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-1643.0600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-1816.7400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40000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False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1.63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0.0452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0.3153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0.0597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0.1162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0.0312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0.9323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0.0468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0.0266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0.0425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0.0009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0.1498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1.86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0.1884</w:t>
            </w:r>
          </w:p>
        </w:tc>
      </w:tr>
      <w:tr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Media (Entre Semillas)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-2496.6167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-1796.6700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40000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Sí (100%)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1.63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0.0453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0.3162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0.0615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0.1159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0.0311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0.9353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0.0469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0.0271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0.0443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0.0009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0.1479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1.88</w:t>
            </w:r>
          </w:p>
        </w:tc>
        <w:tc>
          <w:tcPr>
            <w:tcW w:type="dxa" w:w="493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0.1888</w:t>
            </w:r>
          </w:p>
        </w:tc>
      </w:tr>
      <w:tr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Desv. Est. (Entre Semillas)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858.29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23.63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0.0030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0.0005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0.0011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0.0020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0.0018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0.0006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0.0049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0.0001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0.0004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0.0027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0.0000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0.0021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0.0170</w:t>
            </w:r>
          </w:p>
        </w:tc>
        <w:tc>
          <w:tcPr>
            <w:tcW w:type="dxa" w:w="493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0.0014</w:t>
            </w:r>
          </w:p>
        </w:tc>
      </w:tr>
    </w:tbl>
    <w:p>
      <w:pPr>
        <w:spacing w:before="240"/>
      </w:pPr>
    </w:p>
    <w:p>
      <w:r>
        <w:rPr>
          <w:rFonts w:ascii="Arial" w:hAnsi="Arial"/>
          <w:b/>
          <w:i w:val="0"/>
          <w:sz w:val="20"/>
        </w:rPr>
        <w:t>Tabla 12:</w:t>
      </w:r>
    </w:p>
    <w:p>
      <w:pPr>
        <w:spacing w:after="120"/>
      </w:pPr>
      <w:r>
        <w:rPr>
          <w:rFonts w:ascii="Arial" w:hAnsi="Arial"/>
          <w:b w:val="0"/>
          <w:i/>
          <w:sz w:val="20"/>
        </w:rPr>
        <w:t>Validación Metodológica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none"/>
          <w:right w:val="none"/>
          <w:insideH w:val="single" w:sz="4" w:space="0" w:color="D3D3D3"/>
          <w:insideV w:val="none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Parámetro</w:t>
            </w:r>
          </w:p>
        </w:tc>
        <w:tc>
          <w:tcPr>
            <w:tcW w:type="dxa" w:w="1040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Media_ADVI</w:t>
            </w:r>
          </w:p>
        </w:tc>
        <w:tc>
          <w:tcPr>
            <w:tcW w:type="dxa" w:w="1040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SD_ADVI</w:t>
            </w:r>
          </w:p>
        </w:tc>
        <w:tc>
          <w:tcPr>
            <w:tcW w:type="dxa" w:w="1040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HDI_95_ADVI</w:t>
            </w:r>
          </w:p>
        </w:tc>
        <w:tc>
          <w:tcPr>
            <w:tcW w:type="dxa" w:w="1040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Media_NUTS</w:t>
            </w:r>
          </w:p>
        </w:tc>
        <w:tc>
          <w:tcPr>
            <w:tcW w:type="dxa" w:w="1040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SD_NUTS</w:t>
            </w:r>
          </w:p>
        </w:tc>
        <w:tc>
          <w:tcPr>
            <w:tcW w:type="dxa" w:w="1040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HDI_95_NUTS</w:t>
            </w:r>
          </w:p>
        </w:tc>
        <w:tc>
          <w:tcPr>
            <w:tcW w:type="dxa" w:w="1040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Ratio_SD (ADVI/NUTS)</w:t>
            </w:r>
          </w:p>
        </w:tc>
        <w:tc>
          <w:tcPr>
            <w:tcW w:type="dxa" w:w="1040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Subestimacion_Incertidumbre_Pct</w:t>
            </w:r>
          </w:p>
        </w:tc>
      </w:tr>
      <w:tr>
        <w:tc>
          <w:tcPr>
            <w:tcW w:type="dxa" w:w="1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Intercepto Cantonal (alpha)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1.62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0.0449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[1.5327, 1.7101]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1.37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0.0667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[1.2374, 1.4995]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0.6737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+32.6%</w:t>
            </w:r>
          </w:p>
        </w:tc>
      </w:tr>
      <w:tr>
        <w:tc>
          <w:tcPr>
            <w:tcW w:type="dxa" w:w="104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Contraste Anual 2025 vs 2024 (beta_year)</w:t>
            </w:r>
          </w:p>
        </w:tc>
        <w:tc>
          <w:tcPr>
            <w:tcW w:type="dxa" w:w="104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0.3175</w:t>
            </w:r>
          </w:p>
        </w:tc>
        <w:tc>
          <w:tcPr>
            <w:tcW w:type="dxa" w:w="104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0.0613</w:t>
            </w:r>
          </w:p>
        </w:tc>
        <w:tc>
          <w:tcPr>
            <w:tcW w:type="dxa" w:w="104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[0.1995, 0.4422]</w:t>
            </w:r>
          </w:p>
        </w:tc>
        <w:tc>
          <w:tcPr>
            <w:tcW w:type="dxa" w:w="104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0.3093</w:t>
            </w:r>
          </w:p>
        </w:tc>
        <w:tc>
          <w:tcPr>
            <w:tcW w:type="dxa" w:w="104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0.0603</w:t>
            </w:r>
          </w:p>
        </w:tc>
        <w:tc>
          <w:tcPr>
            <w:tcW w:type="dxa" w:w="104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[0.1903, 0.4278]</w:t>
            </w:r>
          </w:p>
        </w:tc>
        <w:tc>
          <w:tcPr>
            <w:tcW w:type="dxa" w:w="104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1.02</w:t>
            </w:r>
          </w:p>
        </w:tc>
        <w:tc>
          <w:tcPr>
            <w:tcW w:type="dxa" w:w="104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-1.7%</w:t>
            </w:r>
          </w:p>
        </w:tc>
      </w:tr>
      <w:tr>
        <w:tc>
          <w:tcPr>
            <w:tcW w:type="dxa" w:w="1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Elasticidad Área Territorial (beta_area)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0.1140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0.0316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[0.0510, 0.1734]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0.2306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0.0750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[0.0939, 0.3820]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0.4220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+57.8%</w:t>
            </w:r>
          </w:p>
        </w:tc>
      </w:tr>
      <w:tr>
        <w:tc>
          <w:tcPr>
            <w:tcW w:type="dxa" w:w="104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Escala Espacial BYM2 (sigma_s)</w:t>
            </w:r>
          </w:p>
        </w:tc>
        <w:tc>
          <w:tcPr>
            <w:tcW w:type="dxa" w:w="104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0.9327</w:t>
            </w:r>
          </w:p>
        </w:tc>
        <w:tc>
          <w:tcPr>
            <w:tcW w:type="dxa" w:w="104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0.0470</w:t>
            </w:r>
          </w:p>
        </w:tc>
        <w:tc>
          <w:tcPr>
            <w:tcW w:type="dxa" w:w="104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[0.8449, 1.0320]</w:t>
            </w:r>
          </w:p>
        </w:tc>
        <w:tc>
          <w:tcPr>
            <w:tcW w:type="dxa" w:w="104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1.50</w:t>
            </w:r>
          </w:p>
        </w:tc>
        <w:tc>
          <w:tcPr>
            <w:tcW w:type="dxa" w:w="104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0.1553</w:t>
            </w:r>
          </w:p>
        </w:tc>
        <w:tc>
          <w:tcPr>
            <w:tcW w:type="dxa" w:w="104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[1.2423, 1.8463]</w:t>
            </w:r>
          </w:p>
        </w:tc>
        <w:tc>
          <w:tcPr>
            <w:tcW w:type="dxa" w:w="104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0.3025</w:t>
            </w:r>
          </w:p>
        </w:tc>
        <w:tc>
          <w:tcPr>
            <w:tcW w:type="dxa" w:w="104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+69.7%</w:t>
            </w:r>
          </w:p>
        </w:tc>
      </w:tr>
      <w:tr>
        <w:tc>
          <w:tcPr>
            <w:tcW w:type="dxa" w:w="1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Parámetro de Mezcla Espacial (rho)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0.0274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0.0429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[0.0009, 0.1485]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0.8127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0.1052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[0.5891, 0.9892]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0.4078</w:t>
            </w:r>
          </w:p>
        </w:tc>
        <w:tc>
          <w:tcPr>
            <w:tcW w:type="dxa" w:w="1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+59.2%</w:t>
            </w:r>
          </w:p>
        </w:tc>
      </w:tr>
      <w:tr>
        <w:tc>
          <w:tcPr>
            <w:tcW w:type="dxa" w:w="104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Dispersión Binomial Negativa (alpha_disp)</w:t>
            </w:r>
          </w:p>
        </w:tc>
        <w:tc>
          <w:tcPr>
            <w:tcW w:type="dxa" w:w="104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1.90</w:t>
            </w:r>
          </w:p>
        </w:tc>
        <w:tc>
          <w:tcPr>
            <w:tcW w:type="dxa" w:w="104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0.1903</w:t>
            </w:r>
          </w:p>
        </w:tc>
        <w:tc>
          <w:tcPr>
            <w:tcW w:type="dxa" w:w="104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[1.5588, 2.3266]</w:t>
            </w:r>
          </w:p>
        </w:tc>
        <w:tc>
          <w:tcPr>
            <w:tcW w:type="dxa" w:w="104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5.36</w:t>
            </w:r>
          </w:p>
        </w:tc>
        <w:tc>
          <w:tcPr>
            <w:tcW w:type="dxa" w:w="104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0.9064</w:t>
            </w:r>
          </w:p>
        </w:tc>
        <w:tc>
          <w:tcPr>
            <w:tcW w:type="dxa" w:w="104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[3.8136, 7.3525]</w:t>
            </w:r>
          </w:p>
        </w:tc>
        <w:tc>
          <w:tcPr>
            <w:tcW w:type="dxa" w:w="104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0.2099</w:t>
            </w:r>
          </w:p>
        </w:tc>
        <w:tc>
          <w:tcPr>
            <w:tcW w:type="dxa" w:w="1040"/>
            <w:shd w:fill="F9F9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+79.0%</w:t>
            </w:r>
          </w:p>
        </w:tc>
      </w:tr>
    </w:tbl>
    <w:p>
      <w:pPr>
        <w:spacing w:before="24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