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Arial" w:hAnsi="Arial"/>
          <w:b/>
          <w:i w:val="0"/>
          <w:sz w:val="32"/>
        </w:rPr>
        <w:t>REPORTE METODOLÓGICO DE TESIS DE PREGRADO</w:t>
        <w:br/>
      </w:r>
      <w:r>
        <w:rPr>
          <w:rFonts w:ascii="Arial" w:hAnsi="Arial"/>
          <w:b/>
          <w:i w:val="0"/>
          <w:color w:val="505050"/>
          <w:sz w:val="26"/>
        </w:rPr>
        <w:t>Carrera de Ingeniería en Estadística</w:t>
        <w:br/>
      </w:r>
      <w:r>
        <w:rPr>
          <w:rFonts w:ascii="Arial" w:hAnsi="Arial"/>
          <w:b/>
          <w:i w:val="0"/>
          <w:color w:val="800000"/>
          <w:sz w:val="28"/>
        </w:rPr>
        <w:t>"Análisis Bayesiano de Homicidios en el Cantón Guayaquil mediante Análisis Espacio-Temporal"</w:t>
        <w:br/>
      </w:r>
      <w:r>
        <w:rPr>
          <w:rFonts w:ascii="Arial" w:hAnsi="Arial"/>
          <w:b w:val="0"/>
          <w:i/>
          <w:sz w:val="24"/>
        </w:rPr>
        <w:t>Modelamiento Jerárquico Espacio-Temporal con ADVI (2024-2025) y Validación NUTS</w:t>
      </w:r>
    </w:p>
    <w:p>
      <w:pPr>
        <w:spacing w:after="240" w:line="276" w:lineRule="auto"/>
      </w:pPr>
      <w:r>
        <w:rPr>
          <w:rFonts w:ascii="Arial" w:hAnsi="Arial"/>
          <w:b w:val="0"/>
          <w:i w:val="0"/>
          <w:sz w:val="22"/>
        </w:rPr>
        <w:t>Este documento consolidado contiene el flujo de tablas de resultados de la metodología desarrollada para el modelado espacio-temporal de muertes violentas registradas en el Cantón Guayaquil entre 2024 y 2026. Los resultados cubren el control de calidad, el análisis de autocorrelación espacial (LISA), los diagnósticos de sobredispersión, la comparación de modelos Poisson y Binomial Negativa frecuentistas, y los parámetros posteriores del modelo Bayesiano jerárquico estimado mediante ADVI.</w:t>
      </w:r>
    </w:p>
    <w:p>
      <w:r>
        <w:rPr>
          <w:rFonts w:ascii="Arial" w:hAnsi="Arial"/>
          <w:b/>
          <w:i w:val="0"/>
          <w:sz w:val="20"/>
        </w:rPr>
        <w:t>Tabla 1:</w:t>
      </w:r>
    </w:p>
    <w:p>
      <w:pPr>
        <w:spacing w:after="120"/>
      </w:pPr>
      <w:r>
        <w:rPr>
          <w:rFonts w:ascii="Arial" w:hAnsi="Arial"/>
          <w:b w:val="0"/>
          <w:i/>
          <w:sz w:val="20"/>
        </w:rPr>
        <w:t>Resultados del Proceso de Calidad y Depuración de Datos</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4680"/>
        <w:gridCol w:w="4680"/>
      </w:tblGrid>
      <w:tr>
        <w:tc>
          <w:tcPr>
            <w:tcW w:type="dxa" w:w="5040"/>
            <w:shd w:fill="333333"/>
            <w:tcMar>
              <w:top w:w="120" w:type="dxa"/>
              <w:bottom w:w="120" w:type="dxa"/>
              <w:left w:w="150" w:type="dxa"/>
              <w:right w:w="150" w:type="dxa"/>
            </w:tcMar>
          </w:tcPr>
          <w:p>
            <w:pPr>
              <w:spacing w:after="0" w:before="0"/>
              <w:jc w:val="center"/>
            </w:pPr>
            <w:r>
              <w:rPr>
                <w:rFonts w:ascii="Arial" w:hAnsi="Arial"/>
                <w:b/>
                <w:i w:val="0"/>
                <w:color w:val="FFFFFF"/>
                <w:sz w:val="19"/>
              </w:rPr>
              <w:t>Métrica</w:t>
            </w:r>
          </w:p>
        </w:tc>
        <w:tc>
          <w:tcPr>
            <w:tcW w:type="dxa" w:w="2880"/>
            <w:shd w:fill="333333"/>
            <w:tcMar>
              <w:top w:w="120" w:type="dxa"/>
              <w:bottom w:w="120" w:type="dxa"/>
              <w:left w:w="150" w:type="dxa"/>
              <w:right w:w="150" w:type="dxa"/>
            </w:tcMar>
          </w:tcPr>
          <w:p>
            <w:pPr>
              <w:spacing w:after="0" w:before="0"/>
              <w:jc w:val="center"/>
            </w:pPr>
            <w:r>
              <w:rPr>
                <w:rFonts w:ascii="Arial" w:hAnsi="Arial"/>
                <w:b/>
                <w:i w:val="0"/>
                <w:color w:val="FFFFFF"/>
                <w:sz w:val="19"/>
              </w:rPr>
              <w:t>Valor</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Registros Iniciales (Excel crudo)</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4716</w:t>
            </w:r>
          </w:p>
        </w:tc>
      </w:tr>
      <w:tr>
        <w:tc>
          <w:tcPr>
            <w:tcW w:type="dxa" w:w="5040"/>
            <w:shd w:fill="F9F9F9"/>
            <w:tcMar>
              <w:top w:w="100" w:type="dxa"/>
              <w:bottom w:w="100" w:type="dxa"/>
              <w:left w:w="150" w:type="dxa"/>
              <w:right w:w="150" w:type="dxa"/>
            </w:tcMar>
          </w:tcPr>
          <w:p>
            <w:pPr>
              <w:spacing w:after="0" w:before="0"/>
              <w:jc w:val="center"/>
            </w:pPr>
            <w:r>
              <w:rPr>
                <w:rFonts w:ascii="Arial" w:hAnsi="Arial"/>
                <w:b w:val="0"/>
                <w:i w:val="0"/>
                <w:sz w:val="18"/>
              </w:rPr>
              <w:t>Duplicados Eliminados</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35</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Coordenadas Nulas Eliminadas</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0</w:t>
            </w:r>
          </w:p>
        </w:tc>
      </w:tr>
      <w:tr>
        <w:tc>
          <w:tcPr>
            <w:tcW w:type="dxa" w:w="5040"/>
            <w:shd w:fill="F9F9F9"/>
            <w:tcMar>
              <w:top w:w="100" w:type="dxa"/>
              <w:bottom w:w="100" w:type="dxa"/>
              <w:left w:w="150" w:type="dxa"/>
              <w:right w:w="150" w:type="dxa"/>
            </w:tcMar>
          </w:tcPr>
          <w:p>
            <w:pPr>
              <w:spacing w:after="0" w:before="0"/>
              <w:jc w:val="center"/>
            </w:pPr>
            <w:r>
              <w:rPr>
                <w:rFonts w:ascii="Arial" w:hAnsi="Arial"/>
                <w:b w:val="0"/>
                <w:i w:val="0"/>
                <w:sz w:val="18"/>
              </w:rPr>
              <w:t>Coordenadas Fuera de Bounding Box Eliminadas</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47</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Registros Limpios Finales (N total)</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4634</w:t>
            </w:r>
          </w:p>
        </w:tc>
      </w:tr>
      <w:tr>
        <w:tc>
          <w:tcPr>
            <w:tcW w:type="dxa" w:w="5040"/>
            <w:shd w:fill="F9F9F9"/>
            <w:tcMar>
              <w:top w:w="100" w:type="dxa"/>
              <w:bottom w:w="100" w:type="dxa"/>
              <w:left w:w="150" w:type="dxa"/>
              <w:right w:w="150" w:type="dxa"/>
            </w:tcMar>
          </w:tcPr>
          <w:p>
            <w:pPr>
              <w:spacing w:after="0" w:before="0"/>
              <w:jc w:val="center"/>
            </w:pPr>
            <w:r>
              <w:rPr>
                <w:rFonts w:ascii="Arial" w:hAnsi="Arial"/>
                <w:b w:val="0"/>
                <w:i w:val="0"/>
                <w:sz w:val="18"/>
              </w:rPr>
              <w:t>Valores Faltantes en Edad (NaN)</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232</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Valores Válidos en Edad (n reportado)</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4402</w:t>
            </w:r>
          </w:p>
        </w:tc>
      </w:tr>
      <w:tr>
        <w:tc>
          <w:tcPr>
            <w:tcW w:type="dxa" w:w="5040"/>
            <w:shd w:fill="F9F9F9"/>
            <w:tcMar>
              <w:top w:w="100" w:type="dxa"/>
              <w:bottom w:w="100" w:type="dxa"/>
              <w:left w:w="150" w:type="dxa"/>
              <w:right w:w="150" w:type="dxa"/>
            </w:tcMar>
          </w:tcPr>
          <w:p>
            <w:pPr>
              <w:spacing w:after="0" w:before="0"/>
              <w:jc w:val="center"/>
            </w:pPr>
            <w:r>
              <w:rPr>
                <w:rFonts w:ascii="Arial" w:hAnsi="Arial"/>
                <w:b w:val="0"/>
                <w:i w:val="0"/>
                <w:sz w:val="18"/>
              </w:rPr>
              <w:t>Valores Faltantes en Antecedentes (100% - Excluido)</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4634</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Eventos sin Subcircuito (post-cruce)</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0</w:t>
            </w:r>
          </w:p>
        </w:tc>
      </w:tr>
      <w:tr>
        <w:tc>
          <w:tcPr>
            <w:tcW w:type="dxa" w:w="5040"/>
            <w:shd w:fill="F9F9F9"/>
            <w:tcMar>
              <w:top w:w="100" w:type="dxa"/>
              <w:bottom w:w="100" w:type="dxa"/>
              <w:left w:w="150" w:type="dxa"/>
              <w:right w:w="150" w:type="dxa"/>
            </w:tcMar>
          </w:tcPr>
          <w:p>
            <w:pPr>
              <w:spacing w:after="0" w:before="0"/>
              <w:jc w:val="center"/>
            </w:pPr>
            <w:r>
              <w:rPr>
                <w:rFonts w:ascii="Arial" w:hAnsi="Arial"/>
                <w:b w:val="0"/>
                <w:i w:val="0"/>
                <w:sz w:val="18"/>
              </w:rPr>
              <w:t>Víctimas Hombres</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4227</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Víctimas Mujeres</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382</w:t>
            </w:r>
          </w:p>
        </w:tc>
      </w:tr>
      <w:tr>
        <w:tc>
          <w:tcPr>
            <w:tcW w:type="dxa" w:w="5040"/>
            <w:shd w:fill="F9F9F9"/>
            <w:tcMar>
              <w:top w:w="100" w:type="dxa"/>
              <w:bottom w:w="100" w:type="dxa"/>
              <w:left w:w="150" w:type="dxa"/>
              <w:right w:w="150" w:type="dxa"/>
            </w:tcMar>
          </w:tcPr>
          <w:p>
            <w:pPr>
              <w:spacing w:after="0" w:before="0"/>
              <w:jc w:val="center"/>
            </w:pPr>
            <w:r>
              <w:rPr>
                <w:rFonts w:ascii="Arial" w:hAnsi="Arial"/>
                <w:b w:val="0"/>
                <w:i w:val="0"/>
                <w:sz w:val="18"/>
              </w:rPr>
              <w:t>Víctimas No Determinadas</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25</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Total Suma Sexo (Control)</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4634</w:t>
            </w:r>
          </w:p>
        </w:tc>
      </w:tr>
      <w:tr>
        <w:tc>
          <w:tcPr>
            <w:tcW w:type="dxa" w:w="5040"/>
            <w:shd w:fill="F9F9F9"/>
            <w:tcMar>
              <w:top w:w="100" w:type="dxa"/>
              <w:bottom w:w="100" w:type="dxa"/>
              <w:left w:w="150" w:type="dxa"/>
              <w:right w:w="150" w:type="dxa"/>
            </w:tcMar>
          </w:tcPr>
          <w:p>
            <w:pPr>
              <w:spacing w:after="0" w:before="0"/>
              <w:jc w:val="center"/>
            </w:pPr>
            <w:r>
              <w:rPr>
                <w:rFonts w:ascii="Arial" w:hAnsi="Arial"/>
                <w:b w:val="0"/>
                <w:i w:val="0"/>
                <w:sz w:val="18"/>
              </w:rPr>
              <w:t>Homicidios Año 2024 (Año completo)</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1926</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Homicidios Año 2025 (Año completo)</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2506</w:t>
            </w:r>
          </w:p>
        </w:tc>
      </w:tr>
      <w:tr>
        <w:tc>
          <w:tcPr>
            <w:tcW w:type="dxa" w:w="5040"/>
            <w:shd w:fill="F9F9F9"/>
            <w:tcMar>
              <w:top w:w="100" w:type="dxa"/>
              <w:bottom w:w="100" w:type="dxa"/>
              <w:left w:w="150" w:type="dxa"/>
              <w:right w:w="150" w:type="dxa"/>
            </w:tcMar>
          </w:tcPr>
          <w:p>
            <w:pPr>
              <w:spacing w:after="0" w:before="0"/>
              <w:jc w:val="center"/>
            </w:pPr>
            <w:r>
              <w:rPr>
                <w:rFonts w:ascii="Arial" w:hAnsi="Arial"/>
                <w:b w:val="0"/>
                <w:i w:val="0"/>
                <w:sz w:val="18"/>
              </w:rPr>
              <w:t>Homicidios Año 2026 (Solo Enero)</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202</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Total Suma Temporal (Control)</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4634</w:t>
            </w:r>
          </w:p>
        </w:tc>
      </w:tr>
    </w:tbl>
    <w:p>
      <w:pPr>
        <w:spacing w:before="240"/>
      </w:pPr>
    </w:p>
    <w:p>
      <w:r>
        <w:rPr>
          <w:rFonts w:ascii="Arial" w:hAnsi="Arial"/>
          <w:b/>
          <w:i w:val="0"/>
          <w:sz w:val="20"/>
        </w:rPr>
        <w:t>Tabla 2:</w:t>
      </w:r>
    </w:p>
    <w:p>
      <w:pPr>
        <w:spacing w:after="120"/>
      </w:pPr>
      <w:r>
        <w:rPr>
          <w:rFonts w:ascii="Arial" w:hAnsi="Arial"/>
          <w:b w:val="0"/>
          <w:i/>
          <w:sz w:val="20"/>
        </w:rPr>
        <w:t>Distribución de Frecuencia de los Homicidios según el Tipo de Arma Utilizada</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2340"/>
        <w:gridCol w:w="2340"/>
        <w:gridCol w:w="2340"/>
        <w:gridCol w:w="2340"/>
      </w:tblGrid>
      <w:tr>
        <w:tc>
          <w:tcPr>
            <w:tcW w:type="dxa" w:w="2880"/>
            <w:shd w:fill="333333"/>
            <w:tcMar>
              <w:top w:w="120" w:type="dxa"/>
              <w:bottom w:w="120" w:type="dxa"/>
              <w:left w:w="150" w:type="dxa"/>
              <w:right w:w="150" w:type="dxa"/>
            </w:tcMar>
          </w:tcPr>
          <w:p>
            <w:pPr>
              <w:spacing w:after="0" w:before="0"/>
              <w:jc w:val="center"/>
            </w:pPr>
            <w:r>
              <w:rPr>
                <w:rFonts w:ascii="Arial" w:hAnsi="Arial"/>
                <w:b/>
                <w:i w:val="0"/>
                <w:color w:val="FFFFFF"/>
                <w:sz w:val="19"/>
              </w:rPr>
              <w:t>Categoría de Variable</w:t>
            </w:r>
          </w:p>
        </w:tc>
        <w:tc>
          <w:tcPr>
            <w:tcW w:type="dxa" w:w="2880"/>
            <w:shd w:fill="333333"/>
            <w:tcMar>
              <w:top w:w="120" w:type="dxa"/>
              <w:bottom w:w="120" w:type="dxa"/>
              <w:left w:w="150" w:type="dxa"/>
              <w:right w:w="150" w:type="dxa"/>
            </w:tcMar>
          </w:tcPr>
          <w:p>
            <w:pPr>
              <w:spacing w:after="0" w:before="0"/>
              <w:jc w:val="center"/>
            </w:pPr>
            <w:r>
              <w:rPr>
                <w:rFonts w:ascii="Arial" w:hAnsi="Arial"/>
                <w:b/>
                <w:i w:val="0"/>
                <w:color w:val="FFFFFF"/>
                <w:sz w:val="19"/>
              </w:rPr>
              <w:t>Variable / Valor</w:t>
            </w:r>
          </w:p>
        </w:tc>
        <w:tc>
          <w:tcPr>
            <w:tcW w:type="dxa" w:w="2160"/>
            <w:shd w:fill="333333"/>
            <w:tcMar>
              <w:top w:w="120" w:type="dxa"/>
              <w:bottom w:w="120" w:type="dxa"/>
              <w:left w:w="150" w:type="dxa"/>
              <w:right w:w="150" w:type="dxa"/>
            </w:tcMar>
          </w:tcPr>
          <w:p>
            <w:pPr>
              <w:spacing w:after="0" w:before="0"/>
              <w:jc w:val="center"/>
            </w:pPr>
            <w:r>
              <w:rPr>
                <w:rFonts w:ascii="Arial" w:hAnsi="Arial"/>
                <w:b/>
                <w:i w:val="0"/>
                <w:color w:val="FFFFFF"/>
                <w:sz w:val="19"/>
              </w:rPr>
              <w:t>Frecuencia Absoluta</w:t>
            </w:r>
          </w:p>
        </w:tc>
        <w:tc>
          <w:tcPr>
            <w:tcW w:type="dxa" w:w="2160"/>
            <w:shd w:fill="333333"/>
            <w:tcMar>
              <w:top w:w="120" w:type="dxa"/>
              <w:bottom w:w="120" w:type="dxa"/>
              <w:left w:w="150" w:type="dxa"/>
              <w:right w:w="150" w:type="dxa"/>
            </w:tcMar>
          </w:tcPr>
          <w:p>
            <w:pPr>
              <w:spacing w:after="0" w:before="0"/>
              <w:jc w:val="center"/>
            </w:pPr>
            <w:r>
              <w:rPr>
                <w:rFonts w:ascii="Arial" w:hAnsi="Arial"/>
                <w:b/>
                <w:i w:val="0"/>
                <w:color w:val="FFFFFF"/>
                <w:sz w:val="19"/>
              </w:rPr>
              <w:t>Porcentaje Relativo</w:t>
            </w:r>
          </w:p>
        </w:tc>
      </w:tr>
      <w:tr>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Tipo de Arma</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ARMA DE FUEGO</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4112</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88.74%</w:t>
            </w:r>
          </w:p>
        </w:tc>
      </w:tr>
      <w:tr>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Tipo de Arma</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ARMA BLANCA</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268</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5.78%</w:t>
            </w:r>
          </w:p>
        </w:tc>
      </w:tr>
      <w:tr>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Tipo de Arma</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OTROS</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193</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4.16%</w:t>
            </w:r>
          </w:p>
        </w:tc>
      </w:tr>
      <w:tr>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Tipo de Arma</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OBJETO CONTUNDENTE</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61</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1.32%</w:t>
            </w:r>
          </w:p>
        </w:tc>
      </w:tr>
    </w:tbl>
    <w:p>
      <w:pPr>
        <w:spacing w:before="240"/>
      </w:pPr>
    </w:p>
    <w:p>
      <w:r>
        <w:rPr>
          <w:rFonts w:ascii="Arial" w:hAnsi="Arial"/>
          <w:b/>
          <w:i w:val="0"/>
          <w:sz w:val="20"/>
        </w:rPr>
        <w:t>Tabla 3:</w:t>
      </w:r>
    </w:p>
    <w:p>
      <w:pPr>
        <w:spacing w:after="120"/>
      </w:pPr>
      <w:r>
        <w:rPr>
          <w:rFonts w:ascii="Arial" w:hAnsi="Arial"/>
          <w:b w:val="0"/>
          <w:i/>
          <w:sz w:val="20"/>
        </w:rPr>
        <w:t>Comparación Matemática de Matrices de Vecindad Queen y Rook</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3120"/>
        <w:gridCol w:w="3120"/>
        <w:gridCol w:w="3120"/>
      </w:tblGrid>
      <w:tr>
        <w:tc>
          <w:tcPr>
            <w:tcW w:type="dxa" w:w="3600"/>
            <w:shd w:fill="333333"/>
            <w:tcMar>
              <w:top w:w="120" w:type="dxa"/>
              <w:bottom w:w="120" w:type="dxa"/>
              <w:left w:w="150" w:type="dxa"/>
              <w:right w:w="150" w:type="dxa"/>
            </w:tcMar>
          </w:tcPr>
          <w:p>
            <w:pPr>
              <w:spacing w:after="0" w:before="0"/>
              <w:jc w:val="center"/>
            </w:pPr>
            <w:r>
              <w:rPr>
                <w:rFonts w:ascii="Arial" w:hAnsi="Arial"/>
                <w:b/>
                <w:i w:val="0"/>
                <w:color w:val="FFFFFF"/>
                <w:sz w:val="19"/>
              </w:rPr>
              <w:t>Métrica</w:t>
            </w:r>
          </w:p>
        </w:tc>
        <w:tc>
          <w:tcPr>
            <w:tcW w:type="dxa" w:w="2880"/>
            <w:shd w:fill="333333"/>
            <w:tcMar>
              <w:top w:w="120" w:type="dxa"/>
              <w:bottom w:w="120" w:type="dxa"/>
              <w:left w:w="150" w:type="dxa"/>
              <w:right w:w="150" w:type="dxa"/>
            </w:tcMar>
          </w:tcPr>
          <w:p>
            <w:pPr>
              <w:spacing w:after="0" w:before="0"/>
              <w:jc w:val="center"/>
            </w:pPr>
            <w:r>
              <w:rPr>
                <w:rFonts w:ascii="Arial" w:hAnsi="Arial"/>
                <w:b/>
                <w:i w:val="0"/>
                <w:color w:val="FFFFFF"/>
                <w:sz w:val="19"/>
              </w:rPr>
              <w:t>Matriz Queen</w:t>
            </w:r>
          </w:p>
        </w:tc>
        <w:tc>
          <w:tcPr>
            <w:tcW w:type="dxa" w:w="2880"/>
            <w:shd w:fill="333333"/>
            <w:tcMar>
              <w:top w:w="120" w:type="dxa"/>
              <w:bottom w:w="120" w:type="dxa"/>
              <w:left w:w="150" w:type="dxa"/>
              <w:right w:w="150" w:type="dxa"/>
            </w:tcMar>
          </w:tcPr>
          <w:p>
            <w:pPr>
              <w:spacing w:after="0" w:before="0"/>
              <w:jc w:val="center"/>
            </w:pPr>
            <w:r>
              <w:rPr>
                <w:rFonts w:ascii="Arial" w:hAnsi="Arial"/>
                <w:b/>
                <w:i w:val="0"/>
                <w:color w:val="FFFFFF"/>
                <w:sz w:val="19"/>
              </w:rPr>
              <w:t>Matriz Rook</w:t>
            </w:r>
          </w:p>
        </w:tc>
      </w:tr>
      <w:tr>
        <w:tc>
          <w:tcPr>
            <w:tcW w:type="dxa" w:w="3600"/>
            <w:shd w:fill="FFFFFF"/>
            <w:tcMar>
              <w:top w:w="100" w:type="dxa"/>
              <w:bottom w:w="100" w:type="dxa"/>
              <w:left w:w="150" w:type="dxa"/>
              <w:right w:w="150" w:type="dxa"/>
            </w:tcMar>
          </w:tcPr>
          <w:p>
            <w:pPr>
              <w:spacing w:after="0" w:before="0"/>
              <w:jc w:val="center"/>
            </w:pPr>
            <w:r>
              <w:rPr>
                <w:rFonts w:ascii="Arial" w:hAnsi="Arial"/>
                <w:b w:val="0"/>
                <w:i w:val="0"/>
                <w:sz w:val="18"/>
              </w:rPr>
              <w:t>Número de Observaciones (N)</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244</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244</w:t>
            </w:r>
          </w:p>
        </w:tc>
      </w:tr>
      <w:tr>
        <w:tc>
          <w:tcPr>
            <w:tcW w:type="dxa" w:w="3600"/>
            <w:shd w:fill="F9F9F9"/>
            <w:tcMar>
              <w:top w:w="100" w:type="dxa"/>
              <w:bottom w:w="100" w:type="dxa"/>
              <w:left w:w="150" w:type="dxa"/>
              <w:right w:w="150" w:type="dxa"/>
            </w:tcMar>
          </w:tcPr>
          <w:p>
            <w:pPr>
              <w:spacing w:after="0" w:before="0"/>
              <w:jc w:val="center"/>
            </w:pPr>
            <w:r>
              <w:rPr>
                <w:rFonts w:ascii="Arial" w:hAnsi="Arial"/>
                <w:b w:val="0"/>
                <w:i w:val="0"/>
                <w:sz w:val="18"/>
              </w:rPr>
              <w:t>Islas Iniciales (sin conectar)</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4</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4</w:t>
            </w:r>
          </w:p>
        </w:tc>
      </w:tr>
      <w:tr>
        <w:tc>
          <w:tcPr>
            <w:tcW w:type="dxa" w:w="3600"/>
            <w:shd w:fill="FFFFFF"/>
            <w:tcMar>
              <w:top w:w="100" w:type="dxa"/>
              <w:bottom w:w="100" w:type="dxa"/>
              <w:left w:w="150" w:type="dxa"/>
              <w:right w:w="150" w:type="dxa"/>
            </w:tcMar>
          </w:tcPr>
          <w:p>
            <w:pPr>
              <w:spacing w:after="0" w:before="0"/>
              <w:jc w:val="center"/>
            </w:pPr>
            <w:r>
              <w:rPr>
                <w:rFonts w:ascii="Arial" w:hAnsi="Arial"/>
                <w:b w:val="0"/>
                <w:i w:val="0"/>
                <w:sz w:val="18"/>
              </w:rPr>
              <w:t>Islas Finales (conectadas)</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0</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0</w:t>
            </w:r>
          </w:p>
        </w:tc>
      </w:tr>
      <w:tr>
        <w:tc>
          <w:tcPr>
            <w:tcW w:type="dxa" w:w="3600"/>
            <w:shd w:fill="F9F9F9"/>
            <w:tcMar>
              <w:top w:w="100" w:type="dxa"/>
              <w:bottom w:w="100" w:type="dxa"/>
              <w:left w:w="150" w:type="dxa"/>
              <w:right w:w="150" w:type="dxa"/>
            </w:tcMar>
          </w:tcPr>
          <w:p>
            <w:pPr>
              <w:spacing w:after="0" w:before="0"/>
              <w:jc w:val="center"/>
            </w:pPr>
            <w:r>
              <w:rPr>
                <w:rFonts w:ascii="Arial" w:hAnsi="Arial"/>
                <w:b w:val="0"/>
                <w:i w:val="0"/>
                <w:sz w:val="18"/>
              </w:rPr>
              <w:t>Promedio de Vecinos</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5.25</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4.78</w:t>
            </w:r>
          </w:p>
        </w:tc>
      </w:tr>
      <w:tr>
        <w:tc>
          <w:tcPr>
            <w:tcW w:type="dxa" w:w="3600"/>
            <w:shd w:fill="FFFFFF"/>
            <w:tcMar>
              <w:top w:w="100" w:type="dxa"/>
              <w:bottom w:w="100" w:type="dxa"/>
              <w:left w:w="150" w:type="dxa"/>
              <w:right w:w="150" w:type="dxa"/>
            </w:tcMar>
          </w:tcPr>
          <w:p>
            <w:pPr>
              <w:spacing w:after="0" w:before="0"/>
              <w:jc w:val="center"/>
            </w:pPr>
            <w:r>
              <w:rPr>
                <w:rFonts w:ascii="Arial" w:hAnsi="Arial"/>
                <w:b w:val="0"/>
                <w:i w:val="0"/>
                <w:sz w:val="18"/>
              </w:rPr>
              <w:t>Densidad de la Matriz (%)</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2.15</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1.96</w:t>
            </w:r>
          </w:p>
        </w:tc>
      </w:tr>
      <w:tr>
        <w:tc>
          <w:tcPr>
            <w:tcW w:type="dxa" w:w="3600"/>
            <w:shd w:fill="F9F9F9"/>
            <w:tcMar>
              <w:top w:w="100" w:type="dxa"/>
              <w:bottom w:w="100" w:type="dxa"/>
              <w:left w:w="150" w:type="dxa"/>
              <w:right w:w="150" w:type="dxa"/>
            </w:tcMar>
          </w:tcPr>
          <w:p>
            <w:pPr>
              <w:spacing w:after="0" w:before="0"/>
              <w:jc w:val="center"/>
            </w:pPr>
            <w:r>
              <w:rPr>
                <w:rFonts w:ascii="Arial" w:hAnsi="Arial"/>
                <w:b w:val="0"/>
                <w:i w:val="0"/>
                <w:sz w:val="18"/>
              </w:rPr>
              <w:t>Máximo número de vecinos</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17</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17</w:t>
            </w:r>
          </w:p>
        </w:tc>
      </w:tr>
      <w:tr>
        <w:tc>
          <w:tcPr>
            <w:tcW w:type="dxa" w:w="3600"/>
            <w:shd w:fill="FFFFFF"/>
            <w:tcMar>
              <w:top w:w="100" w:type="dxa"/>
              <w:bottom w:w="100" w:type="dxa"/>
              <w:left w:w="150" w:type="dxa"/>
              <w:right w:w="150" w:type="dxa"/>
            </w:tcMar>
          </w:tcPr>
          <w:p>
            <w:pPr>
              <w:spacing w:after="0" w:before="0"/>
              <w:jc w:val="center"/>
            </w:pPr>
            <w:r>
              <w:rPr>
                <w:rFonts w:ascii="Arial" w:hAnsi="Arial"/>
                <w:b w:val="0"/>
                <w:i w:val="0"/>
                <w:sz w:val="18"/>
              </w:rPr>
              <w:t>Mínimo número de vecinos</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1</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1</w:t>
            </w:r>
          </w:p>
        </w:tc>
      </w:tr>
      <w:tr>
        <w:tc>
          <w:tcPr>
            <w:tcW w:type="dxa" w:w="3600"/>
            <w:shd w:fill="F9F9F9"/>
            <w:tcMar>
              <w:top w:w="100" w:type="dxa"/>
              <w:bottom w:w="100" w:type="dxa"/>
              <w:left w:w="150" w:type="dxa"/>
              <w:right w:w="150" w:type="dxa"/>
            </w:tcMar>
          </w:tcPr>
          <w:p>
            <w:pPr>
              <w:spacing w:after="0" w:before="0"/>
              <w:jc w:val="center"/>
            </w:pPr>
            <w:r>
              <w:rPr>
                <w:rFonts w:ascii="Arial" w:hAnsi="Arial"/>
                <w:b w:val="0"/>
                <w:i w:val="0"/>
                <w:sz w:val="18"/>
              </w:rPr>
              <w:t>Matriz Seleccionada para el Modelo Final</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SÍ (Queen, 4 islas de Puná conectadas)</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NO (Descartada)</w:t>
            </w:r>
          </w:p>
        </w:tc>
      </w:tr>
    </w:tbl>
    <w:p>
      <w:pPr>
        <w:spacing w:before="240"/>
      </w:pPr>
    </w:p>
    <w:p>
      <w:r>
        <w:rPr>
          <w:rFonts w:ascii="Arial" w:hAnsi="Arial"/>
          <w:b/>
          <w:i w:val="0"/>
          <w:sz w:val="20"/>
        </w:rPr>
        <w:t>Tabla 4:</w:t>
      </w:r>
    </w:p>
    <w:p>
      <w:pPr>
        <w:spacing w:after="120"/>
      </w:pPr>
      <w:r>
        <w:rPr>
          <w:rFonts w:ascii="Arial" w:hAnsi="Arial"/>
          <w:b w:val="0"/>
          <w:i/>
          <w:sz w:val="20"/>
        </w:rPr>
        <w:t>Autocorrelación Espacial Global de Moran</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851"/>
        <w:gridCol w:w="851"/>
        <w:gridCol w:w="851"/>
        <w:gridCol w:w="851"/>
        <w:gridCol w:w="851"/>
        <w:gridCol w:w="851"/>
        <w:gridCol w:w="851"/>
        <w:gridCol w:w="851"/>
        <w:gridCol w:w="851"/>
        <w:gridCol w:w="851"/>
        <w:gridCol w:w="851"/>
      </w:tblGrid>
      <w:tr>
        <w:tc>
          <w:tcPr>
            <w:tcW w:type="dxa" w:w="2592"/>
            <w:shd w:fill="333333"/>
            <w:tcMar>
              <w:top w:w="120" w:type="dxa"/>
              <w:bottom w:w="120" w:type="dxa"/>
              <w:left w:w="150" w:type="dxa"/>
              <w:right w:w="150" w:type="dxa"/>
            </w:tcMar>
          </w:tcPr>
          <w:p>
            <w:pPr>
              <w:spacing w:after="0" w:before="0"/>
              <w:jc w:val="center"/>
            </w:pPr>
            <w:r>
              <w:rPr>
                <w:rFonts w:ascii="Arial" w:hAnsi="Arial"/>
                <w:b/>
                <w:i w:val="0"/>
                <w:color w:val="FFFFFF"/>
                <w:sz w:val="19"/>
              </w:rPr>
              <w:t>Version</w:t>
            </w:r>
          </w:p>
        </w:tc>
        <w:tc>
          <w:tcPr>
            <w:tcW w:type="dxa" w:w="2592"/>
            <w:shd w:fill="333333"/>
            <w:tcMar>
              <w:top w:w="120" w:type="dxa"/>
              <w:bottom w:w="120" w:type="dxa"/>
              <w:left w:w="150" w:type="dxa"/>
              <w:right w:w="150" w:type="dxa"/>
            </w:tcMar>
          </w:tcPr>
          <w:p>
            <w:pPr>
              <w:spacing w:after="0" w:before="0"/>
              <w:jc w:val="center"/>
            </w:pPr>
            <w:r>
              <w:rPr>
                <w:rFonts w:ascii="Arial" w:hAnsi="Arial"/>
                <w:b/>
                <w:i w:val="0"/>
                <w:color w:val="FFFFFF"/>
                <w:sz w:val="19"/>
              </w:rPr>
              <w:t>Variable</w:t>
            </w:r>
          </w:p>
        </w:tc>
        <w:tc>
          <w:tcPr>
            <w:tcW w:type="dxa" w:w="1296"/>
            <w:shd w:fill="333333"/>
            <w:tcMar>
              <w:top w:w="120" w:type="dxa"/>
              <w:bottom w:w="120" w:type="dxa"/>
              <w:left w:w="150" w:type="dxa"/>
              <w:right w:w="150" w:type="dxa"/>
            </w:tcMar>
          </w:tcPr>
          <w:p>
            <w:pPr>
              <w:spacing w:after="0" w:before="0"/>
              <w:jc w:val="center"/>
            </w:pPr>
            <w:r>
              <w:rPr>
                <w:rFonts w:ascii="Arial" w:hAnsi="Arial"/>
                <w:b/>
                <w:i w:val="0"/>
                <w:color w:val="FFFFFF"/>
                <w:sz w:val="19"/>
              </w:rPr>
              <w:t>Indice_Moran_I</w:t>
            </w:r>
          </w:p>
        </w:tc>
        <w:tc>
          <w:tcPr>
            <w:tcW w:type="dxa" w:w="1296"/>
            <w:shd w:fill="333333"/>
            <w:tcMar>
              <w:top w:w="120" w:type="dxa"/>
              <w:bottom w:w="120" w:type="dxa"/>
              <w:left w:w="150" w:type="dxa"/>
              <w:right w:w="150" w:type="dxa"/>
            </w:tcMar>
          </w:tcPr>
          <w:p>
            <w:pPr>
              <w:spacing w:after="0" w:before="0"/>
              <w:jc w:val="center"/>
            </w:pPr>
            <w:r>
              <w:rPr>
                <w:rFonts w:ascii="Arial" w:hAnsi="Arial"/>
                <w:b/>
                <w:i w:val="0"/>
                <w:color w:val="FFFFFF"/>
                <w:sz w:val="19"/>
              </w:rPr>
              <w:t>Esperanza_EI</w:t>
            </w:r>
          </w:p>
        </w:tc>
        <w:tc>
          <w:tcPr>
            <w:tcW w:type="dxa" w:w="1296"/>
            <w:shd w:fill="333333"/>
            <w:tcMar>
              <w:top w:w="120" w:type="dxa"/>
              <w:bottom w:w="120" w:type="dxa"/>
              <w:left w:w="150" w:type="dxa"/>
              <w:right w:w="150" w:type="dxa"/>
            </w:tcMar>
          </w:tcPr>
          <w:p>
            <w:pPr>
              <w:spacing w:after="0" w:before="0"/>
              <w:jc w:val="center"/>
            </w:pPr>
            <w:r>
              <w:rPr>
                <w:rFonts w:ascii="Arial" w:hAnsi="Arial"/>
                <w:b/>
                <w:i w:val="0"/>
                <w:color w:val="FFFFFF"/>
                <w:sz w:val="19"/>
              </w:rPr>
              <w:t>Z_Score</w:t>
            </w:r>
          </w:p>
        </w:tc>
        <w:tc>
          <w:tcPr>
            <w:tcW w:type="dxa" w:w="1296"/>
            <w:shd w:fill="333333"/>
            <w:tcMar>
              <w:top w:w="120" w:type="dxa"/>
              <w:bottom w:w="120" w:type="dxa"/>
              <w:left w:w="150" w:type="dxa"/>
              <w:right w:w="150" w:type="dxa"/>
            </w:tcMar>
          </w:tcPr>
          <w:p>
            <w:pPr>
              <w:spacing w:after="0" w:before="0"/>
              <w:jc w:val="center"/>
            </w:pPr>
            <w:r>
              <w:rPr>
                <w:rFonts w:ascii="Arial" w:hAnsi="Arial"/>
                <w:b/>
                <w:i w:val="0"/>
                <w:color w:val="FFFFFF"/>
                <w:sz w:val="19"/>
              </w:rPr>
              <w:t>Pseudo_p_valor</w:t>
            </w:r>
          </w:p>
        </w:tc>
        <w:tc>
          <w:tcPr>
            <w:tcW w:type="dxa" w:w="1296"/>
            <w:shd w:fill="333333"/>
            <w:tcMar>
              <w:top w:w="120" w:type="dxa"/>
              <w:bottom w:w="120" w:type="dxa"/>
              <w:left w:w="150" w:type="dxa"/>
              <w:right w:w="150" w:type="dxa"/>
            </w:tcMar>
          </w:tcPr>
          <w:p>
            <w:pPr>
              <w:spacing w:after="0" w:before="0"/>
              <w:jc w:val="center"/>
            </w:pPr>
            <w:r>
              <w:rPr>
                <w:rFonts w:ascii="Arial" w:hAnsi="Arial"/>
                <w:b/>
                <w:i w:val="0"/>
                <w:color w:val="FFFFFF"/>
                <w:sz w:val="19"/>
              </w:rPr>
              <w:t>Permutaciones</w:t>
            </w:r>
          </w:p>
        </w:tc>
        <w:tc>
          <w:tcPr>
            <w:tcW w:type="dxa" w:w="1152"/>
            <w:shd w:fill="333333"/>
            <w:tcMar>
              <w:top w:w="120" w:type="dxa"/>
              <w:bottom w:w="120" w:type="dxa"/>
              <w:left w:w="150" w:type="dxa"/>
              <w:right w:w="150" w:type="dxa"/>
            </w:tcMar>
          </w:tcPr>
          <w:p>
            <w:pPr>
              <w:spacing w:after="0" w:before="0"/>
              <w:jc w:val="center"/>
            </w:pPr>
            <w:r>
              <w:rPr>
                <w:rFonts w:ascii="Arial" w:hAnsi="Arial"/>
                <w:b/>
                <w:i w:val="0"/>
                <w:color w:val="FFFFFF"/>
                <w:sz w:val="19"/>
              </w:rPr>
              <w:t>Semilla</w:t>
            </w:r>
          </w:p>
        </w:tc>
        <w:tc>
          <w:tcPr>
            <w:tcW w:type="dxa" w:w="2160"/>
            <w:shd w:fill="333333"/>
            <w:tcMar>
              <w:top w:w="120" w:type="dxa"/>
              <w:bottom w:w="120" w:type="dxa"/>
              <w:left w:w="150" w:type="dxa"/>
              <w:right w:w="150" w:type="dxa"/>
            </w:tcMar>
          </w:tcPr>
          <w:p>
            <w:pPr>
              <w:spacing w:after="0" w:before="0"/>
              <w:jc w:val="center"/>
            </w:pPr>
            <w:r>
              <w:rPr>
                <w:rFonts w:ascii="Arial" w:hAnsi="Arial"/>
                <w:b/>
                <w:i w:val="0"/>
                <w:color w:val="FFFFFF"/>
                <w:sz w:val="19"/>
              </w:rPr>
              <w:t>Matriz_Espacial</w:t>
            </w:r>
          </w:p>
        </w:tc>
        <w:tc>
          <w:tcPr>
            <w:tcW w:type="dxa" w:w="1296"/>
            <w:shd w:fill="333333"/>
            <w:tcMar>
              <w:top w:w="120" w:type="dxa"/>
              <w:bottom w:w="120" w:type="dxa"/>
              <w:left w:w="150" w:type="dxa"/>
              <w:right w:w="150" w:type="dxa"/>
            </w:tcMar>
          </w:tcPr>
          <w:p>
            <w:pPr>
              <w:spacing w:after="0" w:before="0"/>
              <w:jc w:val="center"/>
            </w:pPr>
            <w:r>
              <w:rPr>
                <w:rFonts w:ascii="Arial" w:hAnsi="Arial"/>
                <w:b/>
                <w:i w:val="0"/>
                <w:color w:val="FFFFFF"/>
                <w:sz w:val="19"/>
              </w:rPr>
              <w:t>Promedio_Vecinos</w:t>
            </w:r>
          </w:p>
        </w:tc>
        <w:tc>
          <w:tcPr>
            <w:tcW w:type="dxa" w:w="2160"/>
            <w:shd w:fill="333333"/>
            <w:tcMar>
              <w:top w:w="120" w:type="dxa"/>
              <w:bottom w:w="120" w:type="dxa"/>
              <w:left w:w="150" w:type="dxa"/>
              <w:right w:w="150" w:type="dxa"/>
            </w:tcMar>
          </w:tcPr>
          <w:p>
            <w:pPr>
              <w:spacing w:after="0" w:before="0"/>
              <w:jc w:val="center"/>
            </w:pPr>
            <w:r>
              <w:rPr>
                <w:rFonts w:ascii="Arial" w:hAnsi="Arial"/>
                <w:b/>
                <w:i w:val="0"/>
                <w:color w:val="FFFFFF"/>
                <w:sz w:val="19"/>
              </w:rPr>
              <w:t>Rol_en_Tesis</w:t>
            </w:r>
          </w:p>
        </w:tc>
      </w:tr>
      <w:tr>
        <w:tc>
          <w:tcPr>
            <w:tcW w:type="dxa" w:w="2592"/>
            <w:shd w:fill="FFFFFF"/>
            <w:tcMar>
              <w:top w:w="100" w:type="dxa"/>
              <w:bottom w:w="100" w:type="dxa"/>
              <w:left w:w="150" w:type="dxa"/>
              <w:right w:w="150" w:type="dxa"/>
            </w:tcMar>
          </w:tcPr>
          <w:p>
            <w:pPr>
              <w:spacing w:after="0" w:before="0"/>
              <w:jc w:val="center"/>
            </w:pPr>
            <w:r>
              <w:rPr>
                <w:rFonts w:ascii="Arial" w:hAnsi="Arial"/>
                <w:b w:val="0"/>
                <w:i w:val="0"/>
                <w:sz w:val="18"/>
              </w:rPr>
              <w:t>(a) Periodo del Modelo (Principal)</w:t>
            </w:r>
          </w:p>
        </w:tc>
        <w:tc>
          <w:tcPr>
            <w:tcW w:type="dxa" w:w="2592"/>
            <w:shd w:fill="FFFFFF"/>
            <w:tcMar>
              <w:top w:w="100" w:type="dxa"/>
              <w:bottom w:w="100" w:type="dxa"/>
              <w:left w:w="150" w:type="dxa"/>
              <w:right w:w="150" w:type="dxa"/>
            </w:tcMar>
          </w:tcPr>
          <w:p>
            <w:pPr>
              <w:spacing w:after="0" w:before="0"/>
              <w:jc w:val="center"/>
            </w:pPr>
            <w:r>
              <w:rPr>
                <w:rFonts w:ascii="Arial" w:hAnsi="Arial"/>
                <w:b w:val="0"/>
                <w:i w:val="0"/>
                <w:sz w:val="18"/>
              </w:rPr>
              <w:t>Homicidios 2024-2025</w:t>
            </w:r>
          </w:p>
        </w:tc>
        <w:tc>
          <w:tcPr>
            <w:tcW w:type="dxa" w:w="1296"/>
            <w:shd w:fill="FFFFFF"/>
            <w:tcMar>
              <w:top w:w="100" w:type="dxa"/>
              <w:bottom w:w="100" w:type="dxa"/>
              <w:left w:w="150" w:type="dxa"/>
              <w:right w:w="150" w:type="dxa"/>
            </w:tcMar>
          </w:tcPr>
          <w:p>
            <w:pPr>
              <w:spacing w:after="0" w:before="0"/>
              <w:jc w:val="center"/>
            </w:pPr>
            <w:r>
              <w:rPr>
                <w:rFonts w:ascii="Arial" w:hAnsi="Arial"/>
                <w:b w:val="0"/>
                <w:i w:val="0"/>
                <w:sz w:val="18"/>
              </w:rPr>
              <w:t>0.1149</w:t>
            </w:r>
          </w:p>
        </w:tc>
        <w:tc>
          <w:tcPr>
            <w:tcW w:type="dxa" w:w="1296"/>
            <w:shd w:fill="FFFFFF"/>
            <w:tcMar>
              <w:top w:w="100" w:type="dxa"/>
              <w:bottom w:w="100" w:type="dxa"/>
              <w:left w:w="150" w:type="dxa"/>
              <w:right w:w="150" w:type="dxa"/>
            </w:tcMar>
          </w:tcPr>
          <w:p>
            <w:pPr>
              <w:spacing w:after="0" w:before="0"/>
              <w:jc w:val="center"/>
            </w:pPr>
            <w:r>
              <w:rPr>
                <w:rFonts w:ascii="Arial" w:hAnsi="Arial"/>
                <w:b w:val="0"/>
                <w:i w:val="0"/>
                <w:sz w:val="18"/>
              </w:rPr>
              <w:t>-0.0041</w:t>
            </w:r>
          </w:p>
        </w:tc>
        <w:tc>
          <w:tcPr>
            <w:tcW w:type="dxa" w:w="1296"/>
            <w:shd w:fill="FFFFFF"/>
            <w:tcMar>
              <w:top w:w="100" w:type="dxa"/>
              <w:bottom w:w="100" w:type="dxa"/>
              <w:left w:w="150" w:type="dxa"/>
              <w:right w:w="150" w:type="dxa"/>
            </w:tcMar>
          </w:tcPr>
          <w:p>
            <w:pPr>
              <w:spacing w:after="0" w:before="0"/>
              <w:jc w:val="center"/>
            </w:pPr>
            <w:r>
              <w:rPr>
                <w:rFonts w:ascii="Arial" w:hAnsi="Arial"/>
                <w:b w:val="0"/>
                <w:i w:val="0"/>
                <w:sz w:val="18"/>
              </w:rPr>
              <w:t>2.95</w:t>
            </w:r>
          </w:p>
        </w:tc>
        <w:tc>
          <w:tcPr>
            <w:tcW w:type="dxa" w:w="1296"/>
            <w:shd w:fill="FFFFFF"/>
            <w:tcMar>
              <w:top w:w="100" w:type="dxa"/>
              <w:bottom w:w="100" w:type="dxa"/>
              <w:left w:w="150" w:type="dxa"/>
              <w:right w:w="150" w:type="dxa"/>
            </w:tcMar>
          </w:tcPr>
          <w:p>
            <w:pPr>
              <w:spacing w:after="0" w:before="0"/>
              <w:jc w:val="center"/>
            </w:pPr>
            <w:r>
              <w:rPr>
                <w:rFonts w:ascii="Arial" w:hAnsi="Arial"/>
                <w:b w:val="0"/>
                <w:i w:val="0"/>
                <w:sz w:val="18"/>
              </w:rPr>
              <w:t>0.0062</w:t>
            </w:r>
          </w:p>
        </w:tc>
        <w:tc>
          <w:tcPr>
            <w:tcW w:type="dxa" w:w="1296"/>
            <w:shd w:fill="FFFFFF"/>
            <w:tcMar>
              <w:top w:w="100" w:type="dxa"/>
              <w:bottom w:w="100" w:type="dxa"/>
              <w:left w:w="150" w:type="dxa"/>
              <w:right w:w="150" w:type="dxa"/>
            </w:tcMar>
          </w:tcPr>
          <w:p>
            <w:pPr>
              <w:spacing w:after="0" w:before="0"/>
              <w:jc w:val="center"/>
            </w:pPr>
            <w:r>
              <w:rPr>
                <w:rFonts w:ascii="Arial" w:hAnsi="Arial"/>
                <w:b w:val="0"/>
                <w:i w:val="0"/>
                <w:sz w:val="18"/>
              </w:rPr>
              <w:t>9999</w:t>
            </w:r>
          </w:p>
        </w:tc>
        <w:tc>
          <w:tcPr>
            <w:tcW w:type="dxa" w:w="1152"/>
            <w:shd w:fill="FFFFFF"/>
            <w:tcMar>
              <w:top w:w="100" w:type="dxa"/>
              <w:bottom w:w="100" w:type="dxa"/>
              <w:left w:w="150" w:type="dxa"/>
              <w:right w:w="150" w:type="dxa"/>
            </w:tcMar>
          </w:tcPr>
          <w:p>
            <w:pPr>
              <w:spacing w:after="0" w:before="0"/>
              <w:jc w:val="center"/>
            </w:pPr>
            <w:r>
              <w:rPr>
                <w:rFonts w:ascii="Arial" w:hAnsi="Arial"/>
                <w:b w:val="0"/>
                <w:i w:val="0"/>
                <w:sz w:val="18"/>
              </w:rPr>
              <w:t>42</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Queen (4 islas de Puná conectadas)</w:t>
            </w:r>
          </w:p>
        </w:tc>
        <w:tc>
          <w:tcPr>
            <w:tcW w:type="dxa" w:w="1296"/>
            <w:shd w:fill="FFFFFF"/>
            <w:tcMar>
              <w:top w:w="100" w:type="dxa"/>
              <w:bottom w:w="100" w:type="dxa"/>
              <w:left w:w="150" w:type="dxa"/>
              <w:right w:w="150" w:type="dxa"/>
            </w:tcMar>
          </w:tcPr>
          <w:p>
            <w:pPr>
              <w:spacing w:after="0" w:before="0"/>
              <w:jc w:val="center"/>
            </w:pPr>
            <w:r>
              <w:rPr>
                <w:rFonts w:ascii="Arial" w:hAnsi="Arial"/>
                <w:b w:val="0"/>
                <w:i w:val="0"/>
                <w:sz w:val="18"/>
              </w:rPr>
              <w:t>5.25</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Texto principal de la tesis (Capítulos 3 y 4)</w:t>
            </w:r>
          </w:p>
        </w:tc>
      </w:tr>
      <w:tr>
        <w:tc>
          <w:tcPr>
            <w:tcW w:type="dxa" w:w="2592"/>
            <w:shd w:fill="F9F9F9"/>
            <w:tcMar>
              <w:top w:w="100" w:type="dxa"/>
              <w:bottom w:w="100" w:type="dxa"/>
              <w:left w:w="150" w:type="dxa"/>
              <w:right w:w="150" w:type="dxa"/>
            </w:tcMar>
          </w:tcPr>
          <w:p>
            <w:pPr>
              <w:spacing w:after="0" w:before="0"/>
              <w:jc w:val="center"/>
            </w:pPr>
            <w:r>
              <w:rPr>
                <w:rFonts w:ascii="Arial" w:hAnsi="Arial"/>
                <w:b w:val="0"/>
                <w:i w:val="0"/>
                <w:sz w:val="18"/>
              </w:rPr>
              <w:t>(b) Periodo Completo (Exploratorio)</w:t>
            </w:r>
          </w:p>
        </w:tc>
        <w:tc>
          <w:tcPr>
            <w:tcW w:type="dxa" w:w="2592"/>
            <w:shd w:fill="F9F9F9"/>
            <w:tcMar>
              <w:top w:w="100" w:type="dxa"/>
              <w:bottom w:w="100" w:type="dxa"/>
              <w:left w:w="150" w:type="dxa"/>
              <w:right w:w="150" w:type="dxa"/>
            </w:tcMar>
          </w:tcPr>
          <w:p>
            <w:pPr>
              <w:spacing w:after="0" w:before="0"/>
              <w:jc w:val="center"/>
            </w:pPr>
            <w:r>
              <w:rPr>
                <w:rFonts w:ascii="Arial" w:hAnsi="Arial"/>
                <w:b w:val="0"/>
                <w:i w:val="0"/>
                <w:sz w:val="18"/>
              </w:rPr>
              <w:t>Homicidios 2024-2026 (Total)</w:t>
            </w:r>
          </w:p>
        </w:tc>
        <w:tc>
          <w:tcPr>
            <w:tcW w:type="dxa" w:w="1296"/>
            <w:shd w:fill="F9F9F9"/>
            <w:tcMar>
              <w:top w:w="100" w:type="dxa"/>
              <w:bottom w:w="100" w:type="dxa"/>
              <w:left w:w="150" w:type="dxa"/>
              <w:right w:w="150" w:type="dxa"/>
            </w:tcMar>
          </w:tcPr>
          <w:p>
            <w:pPr>
              <w:spacing w:after="0" w:before="0"/>
              <w:jc w:val="center"/>
            </w:pPr>
            <w:r>
              <w:rPr>
                <w:rFonts w:ascii="Arial" w:hAnsi="Arial"/>
                <w:b w:val="0"/>
                <w:i w:val="0"/>
                <w:sz w:val="18"/>
              </w:rPr>
              <w:t>0.1103</w:t>
            </w:r>
          </w:p>
        </w:tc>
        <w:tc>
          <w:tcPr>
            <w:tcW w:type="dxa" w:w="1296"/>
            <w:shd w:fill="F9F9F9"/>
            <w:tcMar>
              <w:top w:w="100" w:type="dxa"/>
              <w:bottom w:w="100" w:type="dxa"/>
              <w:left w:w="150" w:type="dxa"/>
              <w:right w:w="150" w:type="dxa"/>
            </w:tcMar>
          </w:tcPr>
          <w:p>
            <w:pPr>
              <w:spacing w:after="0" w:before="0"/>
              <w:jc w:val="center"/>
            </w:pPr>
            <w:r>
              <w:rPr>
                <w:rFonts w:ascii="Arial" w:hAnsi="Arial"/>
                <w:b w:val="0"/>
                <w:i w:val="0"/>
                <w:sz w:val="18"/>
              </w:rPr>
              <w:t>-0.0041</w:t>
            </w:r>
          </w:p>
        </w:tc>
        <w:tc>
          <w:tcPr>
            <w:tcW w:type="dxa" w:w="1296"/>
            <w:shd w:fill="F9F9F9"/>
            <w:tcMar>
              <w:top w:w="100" w:type="dxa"/>
              <w:bottom w:w="100" w:type="dxa"/>
              <w:left w:w="150" w:type="dxa"/>
              <w:right w:w="150" w:type="dxa"/>
            </w:tcMar>
          </w:tcPr>
          <w:p>
            <w:pPr>
              <w:spacing w:after="0" w:before="0"/>
              <w:jc w:val="center"/>
            </w:pPr>
            <w:r>
              <w:rPr>
                <w:rFonts w:ascii="Arial" w:hAnsi="Arial"/>
                <w:b w:val="0"/>
                <w:i w:val="0"/>
                <w:sz w:val="18"/>
              </w:rPr>
              <w:t>2.83</w:t>
            </w:r>
          </w:p>
        </w:tc>
        <w:tc>
          <w:tcPr>
            <w:tcW w:type="dxa" w:w="1296"/>
            <w:shd w:fill="F9F9F9"/>
            <w:tcMar>
              <w:top w:w="100" w:type="dxa"/>
              <w:bottom w:w="100" w:type="dxa"/>
              <w:left w:w="150" w:type="dxa"/>
              <w:right w:w="150" w:type="dxa"/>
            </w:tcMar>
          </w:tcPr>
          <w:p>
            <w:pPr>
              <w:spacing w:after="0" w:before="0"/>
              <w:jc w:val="center"/>
            </w:pPr>
            <w:r>
              <w:rPr>
                <w:rFonts w:ascii="Arial" w:hAnsi="Arial"/>
                <w:b w:val="0"/>
                <w:i w:val="0"/>
                <w:sz w:val="18"/>
              </w:rPr>
              <w:t>0.0079</w:t>
            </w:r>
          </w:p>
        </w:tc>
        <w:tc>
          <w:tcPr>
            <w:tcW w:type="dxa" w:w="1296"/>
            <w:shd w:fill="F9F9F9"/>
            <w:tcMar>
              <w:top w:w="100" w:type="dxa"/>
              <w:bottom w:w="100" w:type="dxa"/>
              <w:left w:w="150" w:type="dxa"/>
              <w:right w:w="150" w:type="dxa"/>
            </w:tcMar>
          </w:tcPr>
          <w:p>
            <w:pPr>
              <w:spacing w:after="0" w:before="0"/>
              <w:jc w:val="center"/>
            </w:pPr>
            <w:r>
              <w:rPr>
                <w:rFonts w:ascii="Arial" w:hAnsi="Arial"/>
                <w:b w:val="0"/>
                <w:i w:val="0"/>
                <w:sz w:val="18"/>
              </w:rPr>
              <w:t>9999</w:t>
            </w:r>
          </w:p>
        </w:tc>
        <w:tc>
          <w:tcPr>
            <w:tcW w:type="dxa" w:w="1152"/>
            <w:shd w:fill="F9F9F9"/>
            <w:tcMar>
              <w:top w:w="100" w:type="dxa"/>
              <w:bottom w:w="100" w:type="dxa"/>
              <w:left w:w="150" w:type="dxa"/>
              <w:right w:w="150" w:type="dxa"/>
            </w:tcMar>
          </w:tcPr>
          <w:p>
            <w:pPr>
              <w:spacing w:after="0" w:before="0"/>
              <w:jc w:val="center"/>
            </w:pPr>
            <w:r>
              <w:rPr>
                <w:rFonts w:ascii="Arial" w:hAnsi="Arial"/>
                <w:b w:val="0"/>
                <w:i w:val="0"/>
                <w:sz w:val="18"/>
              </w:rPr>
              <w:t>42</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Queen (4 islas de Puná conectadas)</w:t>
            </w:r>
          </w:p>
        </w:tc>
        <w:tc>
          <w:tcPr>
            <w:tcW w:type="dxa" w:w="1296"/>
            <w:shd w:fill="F9F9F9"/>
            <w:tcMar>
              <w:top w:w="100" w:type="dxa"/>
              <w:bottom w:w="100" w:type="dxa"/>
              <w:left w:w="150" w:type="dxa"/>
              <w:right w:w="150" w:type="dxa"/>
            </w:tcMar>
          </w:tcPr>
          <w:p>
            <w:pPr>
              <w:spacing w:after="0" w:before="0"/>
              <w:jc w:val="center"/>
            </w:pPr>
            <w:r>
              <w:rPr>
                <w:rFonts w:ascii="Arial" w:hAnsi="Arial"/>
                <w:b w:val="0"/>
                <w:i w:val="0"/>
                <w:sz w:val="18"/>
              </w:rPr>
              <w:t>5.25</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Análisis exploratorio complementario</w:t>
            </w:r>
          </w:p>
        </w:tc>
      </w:tr>
    </w:tbl>
    <w:p>
      <w:pPr>
        <w:spacing w:before="240"/>
      </w:pPr>
    </w:p>
    <w:p>
      <w:r>
        <w:rPr>
          <w:rFonts w:ascii="Arial" w:hAnsi="Arial"/>
          <w:b/>
          <w:i w:val="0"/>
          <w:sz w:val="20"/>
        </w:rPr>
        <w:t>Tabla 5:</w:t>
      </w:r>
    </w:p>
    <w:p>
      <w:pPr>
        <w:spacing w:after="120"/>
      </w:pPr>
      <w:r>
        <w:rPr>
          <w:rFonts w:ascii="Arial" w:hAnsi="Arial"/>
          <w:b w:val="0"/>
          <w:i/>
          <w:sz w:val="20"/>
        </w:rPr>
        <w:t>Comparativa de Ajuste entre Modelos Poisson y Binomial Negativo Frecuentistas</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3120"/>
        <w:gridCol w:w="3120"/>
        <w:gridCol w:w="3120"/>
      </w:tblGrid>
      <w:tr>
        <w:tc>
          <w:tcPr>
            <w:tcW w:type="dxa" w:w="3600"/>
            <w:shd w:fill="333333"/>
            <w:tcMar>
              <w:top w:w="120" w:type="dxa"/>
              <w:bottom w:w="120" w:type="dxa"/>
              <w:left w:w="150" w:type="dxa"/>
              <w:right w:w="150" w:type="dxa"/>
            </w:tcMar>
          </w:tcPr>
          <w:p>
            <w:pPr>
              <w:spacing w:after="0" w:before="0"/>
              <w:jc w:val="center"/>
            </w:pPr>
            <w:r>
              <w:rPr>
                <w:rFonts w:ascii="Arial" w:hAnsi="Arial"/>
                <w:b/>
                <w:i w:val="0"/>
                <w:color w:val="FFFFFF"/>
                <w:sz w:val="19"/>
              </w:rPr>
              <w:t>Métrica</w:t>
            </w:r>
          </w:p>
        </w:tc>
        <w:tc>
          <w:tcPr>
            <w:tcW w:type="dxa" w:w="2880"/>
            <w:shd w:fill="333333"/>
            <w:tcMar>
              <w:top w:w="120" w:type="dxa"/>
              <w:bottom w:w="120" w:type="dxa"/>
              <w:left w:w="150" w:type="dxa"/>
              <w:right w:w="150" w:type="dxa"/>
            </w:tcMar>
          </w:tcPr>
          <w:p>
            <w:pPr>
              <w:spacing w:after="0" w:before="0"/>
              <w:jc w:val="center"/>
            </w:pPr>
            <w:r>
              <w:rPr>
                <w:rFonts w:ascii="Arial" w:hAnsi="Arial"/>
                <w:b/>
                <w:i w:val="0"/>
                <w:color w:val="FFFFFF"/>
                <w:sz w:val="19"/>
              </w:rPr>
              <w:t>Modelo Poisson</w:t>
            </w:r>
          </w:p>
        </w:tc>
        <w:tc>
          <w:tcPr>
            <w:tcW w:type="dxa" w:w="2880"/>
            <w:shd w:fill="333333"/>
            <w:tcMar>
              <w:top w:w="120" w:type="dxa"/>
              <w:bottom w:w="120" w:type="dxa"/>
              <w:left w:w="150" w:type="dxa"/>
              <w:right w:w="150" w:type="dxa"/>
            </w:tcMar>
          </w:tcPr>
          <w:p>
            <w:pPr>
              <w:spacing w:after="0" w:before="0"/>
              <w:jc w:val="center"/>
            </w:pPr>
            <w:r>
              <w:rPr>
                <w:rFonts w:ascii="Arial" w:hAnsi="Arial"/>
                <w:b/>
                <w:i w:val="0"/>
                <w:color w:val="FFFFFF"/>
                <w:sz w:val="19"/>
              </w:rPr>
              <w:t>Modelo Binomial Negativo</w:t>
            </w:r>
          </w:p>
        </w:tc>
      </w:tr>
      <w:tr>
        <w:tc>
          <w:tcPr>
            <w:tcW w:type="dxa" w:w="3600"/>
            <w:shd w:fill="FFFFFF"/>
            <w:tcMar>
              <w:top w:w="100" w:type="dxa"/>
              <w:bottom w:w="100" w:type="dxa"/>
              <w:left w:w="150" w:type="dxa"/>
              <w:right w:w="150" w:type="dxa"/>
            </w:tcMar>
          </w:tcPr>
          <w:p>
            <w:pPr>
              <w:spacing w:after="0" w:before="0"/>
              <w:jc w:val="center"/>
            </w:pPr>
            <w:r>
              <w:rPr>
                <w:rFonts w:ascii="Arial" w:hAnsi="Arial"/>
                <w:b w:val="0"/>
                <w:i w:val="0"/>
                <w:sz w:val="18"/>
              </w:rPr>
              <w:t>Log-Likelihood</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-3550.6550</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-1553.4064</w:t>
            </w:r>
          </w:p>
        </w:tc>
      </w:tr>
      <w:tr>
        <w:tc>
          <w:tcPr>
            <w:tcW w:type="dxa" w:w="3600"/>
            <w:shd w:fill="F9F9F9"/>
            <w:tcMar>
              <w:top w:w="100" w:type="dxa"/>
              <w:bottom w:w="100" w:type="dxa"/>
              <w:left w:w="150" w:type="dxa"/>
              <w:right w:w="150" w:type="dxa"/>
            </w:tcMar>
          </w:tcPr>
          <w:p>
            <w:pPr>
              <w:spacing w:after="0" w:before="0"/>
              <w:jc w:val="center"/>
            </w:pPr>
            <w:r>
              <w:rPr>
                <w:rFonts w:ascii="Arial" w:hAnsi="Arial"/>
                <w:b w:val="0"/>
                <w:i w:val="0"/>
                <w:sz w:val="18"/>
              </w:rPr>
              <w:t>AIC (Akaike)</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7107.31</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3114.81</w:t>
            </w:r>
          </w:p>
        </w:tc>
      </w:tr>
      <w:tr>
        <w:tc>
          <w:tcPr>
            <w:tcW w:type="dxa" w:w="3600"/>
            <w:shd w:fill="FFFFFF"/>
            <w:tcMar>
              <w:top w:w="100" w:type="dxa"/>
              <w:bottom w:w="100" w:type="dxa"/>
              <w:left w:w="150" w:type="dxa"/>
              <w:right w:w="150" w:type="dxa"/>
            </w:tcMar>
          </w:tcPr>
          <w:p>
            <w:pPr>
              <w:spacing w:after="0" w:before="0"/>
              <w:jc w:val="center"/>
            </w:pPr>
            <w:r>
              <w:rPr>
                <w:rFonts w:ascii="Arial" w:hAnsi="Arial"/>
                <w:b w:val="0"/>
                <w:i w:val="0"/>
                <w:sz w:val="18"/>
              </w:rPr>
              <w:t>BIC (Bayesiano)</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7119.88</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3131.57</w:t>
            </w:r>
          </w:p>
        </w:tc>
      </w:tr>
    </w:tbl>
    <w:p>
      <w:pPr>
        <w:spacing w:before="240"/>
      </w:pPr>
    </w:p>
    <w:p>
      <w:r>
        <w:rPr>
          <w:rFonts w:ascii="Arial" w:hAnsi="Arial"/>
          <w:b/>
          <w:i w:val="0"/>
          <w:sz w:val="20"/>
        </w:rPr>
        <w:t>Tabla 6:</w:t>
      </w:r>
    </w:p>
    <w:p>
      <w:pPr>
        <w:spacing w:after="120"/>
      </w:pPr>
      <w:r>
        <w:rPr>
          <w:rFonts w:ascii="Arial" w:hAnsi="Arial"/>
          <w:b w:val="0"/>
          <w:i/>
          <w:sz w:val="20"/>
        </w:rPr>
        <w:t>Top 10 Subcircuitos con Mayor Riesgo Relativo Estimado mediante el Modelo Bayesiano</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1872"/>
        <w:gridCol w:w="1872"/>
        <w:gridCol w:w="1872"/>
        <w:gridCol w:w="1872"/>
        <w:gridCol w:w="1872"/>
      </w:tblGrid>
      <w:tr>
        <w:tc>
          <w:tcPr>
            <w:tcW w:type="dxa" w:w="2880"/>
            <w:shd w:fill="333333"/>
            <w:tcMar>
              <w:top w:w="120" w:type="dxa"/>
              <w:bottom w:w="120" w:type="dxa"/>
              <w:left w:w="150" w:type="dxa"/>
              <w:right w:w="150" w:type="dxa"/>
            </w:tcMar>
          </w:tcPr>
          <w:p>
            <w:pPr>
              <w:spacing w:after="0" w:before="0"/>
              <w:jc w:val="center"/>
            </w:pPr>
            <w:r>
              <w:rPr>
                <w:rFonts w:ascii="Arial" w:hAnsi="Arial"/>
                <w:b/>
                <w:i w:val="0"/>
                <w:color w:val="FFFFFF"/>
                <w:sz w:val="19"/>
              </w:rPr>
              <w:t>Subcircuito</w:t>
            </w:r>
          </w:p>
        </w:tc>
        <w:tc>
          <w:tcPr>
            <w:tcW w:type="dxa" w:w="2160"/>
            <w:shd w:fill="333333"/>
            <w:tcMar>
              <w:top w:w="120" w:type="dxa"/>
              <w:bottom w:w="120" w:type="dxa"/>
              <w:left w:w="150" w:type="dxa"/>
              <w:right w:w="150" w:type="dxa"/>
            </w:tcMar>
          </w:tcPr>
          <w:p>
            <w:pPr>
              <w:spacing w:after="0" w:before="0"/>
              <w:jc w:val="center"/>
            </w:pPr>
            <w:r>
              <w:rPr>
                <w:rFonts w:ascii="Arial" w:hAnsi="Arial"/>
                <w:b/>
                <w:i w:val="0"/>
                <w:color w:val="FFFFFF"/>
                <w:sz w:val="19"/>
              </w:rPr>
              <w:t>Circuito</w:t>
            </w:r>
          </w:p>
        </w:tc>
        <w:tc>
          <w:tcPr>
            <w:tcW w:type="dxa" w:w="2160"/>
            <w:shd w:fill="333333"/>
            <w:tcMar>
              <w:top w:w="120" w:type="dxa"/>
              <w:bottom w:w="120" w:type="dxa"/>
              <w:left w:w="150" w:type="dxa"/>
              <w:right w:w="150" w:type="dxa"/>
            </w:tcMar>
          </w:tcPr>
          <w:p>
            <w:pPr>
              <w:spacing w:after="0" w:before="0"/>
              <w:jc w:val="center"/>
            </w:pPr>
            <w:r>
              <w:rPr>
                <w:rFonts w:ascii="Arial" w:hAnsi="Arial"/>
                <w:b/>
                <w:i w:val="0"/>
                <w:color w:val="FFFFFF"/>
                <w:sz w:val="19"/>
              </w:rPr>
              <w:t>Distrito</w:t>
            </w:r>
          </w:p>
        </w:tc>
        <w:tc>
          <w:tcPr>
            <w:tcW w:type="dxa" w:w="2160"/>
            <w:shd w:fill="333333"/>
            <w:tcMar>
              <w:top w:w="120" w:type="dxa"/>
              <w:bottom w:w="120" w:type="dxa"/>
              <w:left w:w="150" w:type="dxa"/>
              <w:right w:w="150" w:type="dxa"/>
            </w:tcMar>
          </w:tcPr>
          <w:p>
            <w:pPr>
              <w:spacing w:after="0" w:before="0"/>
              <w:jc w:val="center"/>
            </w:pPr>
            <w:r>
              <w:rPr>
                <w:rFonts w:ascii="Arial" w:hAnsi="Arial"/>
                <w:b/>
                <w:i w:val="0"/>
                <w:color w:val="FFFFFF"/>
                <w:sz w:val="19"/>
              </w:rPr>
              <w:t>Riesgo Relativo (RR)</w:t>
            </w:r>
          </w:p>
        </w:tc>
        <w:tc>
          <w:tcPr>
            <w:tcW w:type="dxa" w:w="1440"/>
            <w:shd w:fill="333333"/>
            <w:tcMar>
              <w:top w:w="120" w:type="dxa"/>
              <w:bottom w:w="120" w:type="dxa"/>
              <w:left w:w="150" w:type="dxa"/>
              <w:right w:w="150" w:type="dxa"/>
            </w:tcMar>
          </w:tcPr>
          <w:p>
            <w:pPr>
              <w:spacing w:after="0" w:before="0"/>
              <w:jc w:val="center"/>
            </w:pPr>
            <w:r>
              <w:rPr>
                <w:rFonts w:ascii="Arial" w:hAnsi="Arial"/>
                <w:b/>
                <w:i w:val="0"/>
                <w:color w:val="FFFFFF"/>
                <w:sz w:val="19"/>
              </w:rPr>
              <w:t>P(RR &gt; 1.5)</w:t>
            </w:r>
          </w:p>
        </w:tc>
      </w:tr>
      <w:tr>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NUEVO GUAYAQUIL 3</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NUEVO GUAYAQUIL</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NUEVA PROSPERINA</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4.39</w:t>
            </w:r>
          </w:p>
        </w:tc>
        <w:tc>
          <w:tcPr>
            <w:tcW w:type="dxa" w:w="1440"/>
            <w:shd w:fill="FFFFFF"/>
            <w:tcMar>
              <w:top w:w="100" w:type="dxa"/>
              <w:bottom w:w="100" w:type="dxa"/>
              <w:left w:w="150" w:type="dxa"/>
              <w:right w:w="150" w:type="dxa"/>
            </w:tcMar>
          </w:tcPr>
          <w:p>
            <w:pPr>
              <w:spacing w:after="0" w:before="0"/>
              <w:jc w:val="center"/>
            </w:pPr>
            <w:r>
              <w:rPr>
                <w:rFonts w:ascii="Arial" w:hAnsi="Arial"/>
                <w:b w:val="0"/>
                <w:i w:val="0"/>
                <w:sz w:val="18"/>
              </w:rPr>
              <w:t>1.00</w:t>
            </w:r>
          </w:p>
        </w:tc>
      </w:tr>
      <w:tr>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PARAISO LA FLOR 4</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PARAISO LA FLOR</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NUEVA PROSPERINA</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4.30</w:t>
            </w:r>
          </w:p>
        </w:tc>
        <w:tc>
          <w:tcPr>
            <w:tcW w:type="dxa" w:w="1440"/>
            <w:shd w:fill="F9F9F9"/>
            <w:tcMar>
              <w:top w:w="100" w:type="dxa"/>
              <w:bottom w:w="100" w:type="dxa"/>
              <w:left w:w="150" w:type="dxa"/>
              <w:right w:w="150" w:type="dxa"/>
            </w:tcMar>
          </w:tcPr>
          <w:p>
            <w:pPr>
              <w:spacing w:after="0" w:before="0"/>
              <w:jc w:val="center"/>
            </w:pPr>
            <w:r>
              <w:rPr>
                <w:rFonts w:ascii="Arial" w:hAnsi="Arial"/>
                <w:b w:val="0"/>
                <w:i w:val="0"/>
                <w:sz w:val="18"/>
              </w:rPr>
              <w:t>1.00</w:t>
            </w:r>
          </w:p>
        </w:tc>
      </w:tr>
      <w:tr>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NUEVA PROSPERINA 2</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NUEVA PROSPERINA</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NUEVA PROSPERINA</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4.21</w:t>
            </w:r>
          </w:p>
        </w:tc>
        <w:tc>
          <w:tcPr>
            <w:tcW w:type="dxa" w:w="1440"/>
            <w:shd w:fill="FFFFFF"/>
            <w:tcMar>
              <w:top w:w="100" w:type="dxa"/>
              <w:bottom w:w="100" w:type="dxa"/>
              <w:left w:w="150" w:type="dxa"/>
              <w:right w:w="150" w:type="dxa"/>
            </w:tcMar>
          </w:tcPr>
          <w:p>
            <w:pPr>
              <w:spacing w:after="0" w:before="0"/>
              <w:jc w:val="center"/>
            </w:pPr>
            <w:r>
              <w:rPr>
                <w:rFonts w:ascii="Arial" w:hAnsi="Arial"/>
                <w:b w:val="0"/>
                <w:i w:val="0"/>
                <w:sz w:val="18"/>
              </w:rPr>
              <w:t>1.00</w:t>
            </w:r>
          </w:p>
        </w:tc>
      </w:tr>
      <w:tr>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PASCUALES 2</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PASCUALES</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PASCUALES</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4.08</w:t>
            </w:r>
          </w:p>
        </w:tc>
        <w:tc>
          <w:tcPr>
            <w:tcW w:type="dxa" w:w="1440"/>
            <w:shd w:fill="F9F9F9"/>
            <w:tcMar>
              <w:top w:w="100" w:type="dxa"/>
              <w:bottom w:w="100" w:type="dxa"/>
              <w:left w:w="150" w:type="dxa"/>
              <w:right w:w="150" w:type="dxa"/>
            </w:tcMar>
          </w:tcPr>
          <w:p>
            <w:pPr>
              <w:spacing w:after="0" w:before="0"/>
              <w:jc w:val="center"/>
            </w:pPr>
            <w:r>
              <w:rPr>
                <w:rFonts w:ascii="Arial" w:hAnsi="Arial"/>
                <w:b w:val="0"/>
                <w:i w:val="0"/>
                <w:sz w:val="18"/>
              </w:rPr>
              <w:t>1.00</w:t>
            </w:r>
          </w:p>
        </w:tc>
      </w:tr>
      <w:tr>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GUASMO 1</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GUASMO</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SUR</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4.08</w:t>
            </w:r>
          </w:p>
        </w:tc>
        <w:tc>
          <w:tcPr>
            <w:tcW w:type="dxa" w:w="1440"/>
            <w:shd w:fill="FFFFFF"/>
            <w:tcMar>
              <w:top w:w="100" w:type="dxa"/>
              <w:bottom w:w="100" w:type="dxa"/>
              <w:left w:w="150" w:type="dxa"/>
              <w:right w:w="150" w:type="dxa"/>
            </w:tcMar>
          </w:tcPr>
          <w:p>
            <w:pPr>
              <w:spacing w:after="0" w:before="0"/>
              <w:jc w:val="center"/>
            </w:pPr>
            <w:r>
              <w:rPr>
                <w:rFonts w:ascii="Arial" w:hAnsi="Arial"/>
                <w:b w:val="0"/>
                <w:i w:val="0"/>
                <w:sz w:val="18"/>
              </w:rPr>
              <w:t>1.00</w:t>
            </w:r>
          </w:p>
        </w:tc>
      </w:tr>
      <w:tr>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SAN FRANCISCO 2</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SAN FRANCISCO</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PASCUALES</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3.51</w:t>
            </w:r>
          </w:p>
        </w:tc>
        <w:tc>
          <w:tcPr>
            <w:tcW w:type="dxa" w:w="1440"/>
            <w:shd w:fill="F9F9F9"/>
            <w:tcMar>
              <w:top w:w="100" w:type="dxa"/>
              <w:bottom w:w="100" w:type="dxa"/>
              <w:left w:w="150" w:type="dxa"/>
              <w:right w:w="150" w:type="dxa"/>
            </w:tcMar>
          </w:tcPr>
          <w:p>
            <w:pPr>
              <w:spacing w:after="0" w:before="0"/>
              <w:jc w:val="center"/>
            </w:pPr>
            <w:r>
              <w:rPr>
                <w:rFonts w:ascii="Arial" w:hAnsi="Arial"/>
                <w:b w:val="0"/>
                <w:i w:val="0"/>
                <w:sz w:val="18"/>
              </w:rPr>
              <w:t>1.00</w:t>
            </w:r>
          </w:p>
        </w:tc>
      </w:tr>
      <w:tr>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TRINITARIA NORTE 2</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TRINITARIA NORTE</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ESTEROS</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3.41</w:t>
            </w:r>
          </w:p>
        </w:tc>
        <w:tc>
          <w:tcPr>
            <w:tcW w:type="dxa" w:w="1440"/>
            <w:shd w:fill="FFFFFF"/>
            <w:tcMar>
              <w:top w:w="100" w:type="dxa"/>
              <w:bottom w:w="100" w:type="dxa"/>
              <w:left w:w="150" w:type="dxa"/>
              <w:right w:w="150" w:type="dxa"/>
            </w:tcMar>
          </w:tcPr>
          <w:p>
            <w:pPr>
              <w:spacing w:after="0" w:before="0"/>
              <w:jc w:val="center"/>
            </w:pPr>
            <w:r>
              <w:rPr>
                <w:rFonts w:ascii="Arial" w:hAnsi="Arial"/>
                <w:b w:val="0"/>
                <w:i w:val="0"/>
                <w:sz w:val="18"/>
              </w:rPr>
              <w:t>1.00</w:t>
            </w:r>
          </w:p>
        </w:tc>
      </w:tr>
      <w:tr>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PASCUALES 3</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PASCUALES</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PASCUALES</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3.40</w:t>
            </w:r>
          </w:p>
        </w:tc>
        <w:tc>
          <w:tcPr>
            <w:tcW w:type="dxa" w:w="1440"/>
            <w:shd w:fill="F9F9F9"/>
            <w:tcMar>
              <w:top w:w="100" w:type="dxa"/>
              <w:bottom w:w="100" w:type="dxa"/>
              <w:left w:w="150" w:type="dxa"/>
              <w:right w:w="150" w:type="dxa"/>
            </w:tcMar>
          </w:tcPr>
          <w:p>
            <w:pPr>
              <w:spacing w:after="0" w:before="0"/>
              <w:jc w:val="center"/>
            </w:pPr>
            <w:r>
              <w:rPr>
                <w:rFonts w:ascii="Arial" w:hAnsi="Arial"/>
                <w:b w:val="0"/>
                <w:i w:val="0"/>
                <w:sz w:val="18"/>
              </w:rPr>
              <w:t>0.9990</w:t>
            </w:r>
          </w:p>
        </w:tc>
      </w:tr>
      <w:tr>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7 LAGOS 3</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7 LAGOS</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SUR</w:t>
            </w:r>
          </w:p>
        </w:tc>
        <w:tc>
          <w:tcPr>
            <w:tcW w:type="dxa" w:w="2160"/>
            <w:shd w:fill="FFFFFF"/>
            <w:tcMar>
              <w:top w:w="100" w:type="dxa"/>
              <w:bottom w:w="100" w:type="dxa"/>
              <w:left w:w="150" w:type="dxa"/>
              <w:right w:w="150" w:type="dxa"/>
            </w:tcMar>
          </w:tcPr>
          <w:p>
            <w:pPr>
              <w:spacing w:after="0" w:before="0"/>
              <w:jc w:val="center"/>
            </w:pPr>
            <w:r>
              <w:rPr>
                <w:rFonts w:ascii="Arial" w:hAnsi="Arial"/>
                <w:b w:val="0"/>
                <w:i w:val="0"/>
                <w:sz w:val="18"/>
              </w:rPr>
              <w:t>3.11</w:t>
            </w:r>
          </w:p>
        </w:tc>
        <w:tc>
          <w:tcPr>
            <w:tcW w:type="dxa" w:w="1440"/>
            <w:shd w:fill="FFFFFF"/>
            <w:tcMar>
              <w:top w:w="100" w:type="dxa"/>
              <w:bottom w:w="100" w:type="dxa"/>
              <w:left w:w="150" w:type="dxa"/>
              <w:right w:w="150" w:type="dxa"/>
            </w:tcMar>
          </w:tcPr>
          <w:p>
            <w:pPr>
              <w:spacing w:after="0" w:before="0"/>
              <w:jc w:val="center"/>
            </w:pPr>
            <w:r>
              <w:rPr>
                <w:rFonts w:ascii="Arial" w:hAnsi="Arial"/>
                <w:b w:val="0"/>
                <w:i w:val="0"/>
                <w:sz w:val="18"/>
              </w:rPr>
              <w:t>0.9990</w:t>
            </w:r>
          </w:p>
        </w:tc>
      </w:tr>
      <w:tr>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FORTIN 3</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FORTIN</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NUEVA PROSPERINA</w:t>
            </w:r>
          </w:p>
        </w:tc>
        <w:tc>
          <w:tcPr>
            <w:tcW w:type="dxa" w:w="2160"/>
            <w:shd w:fill="F9F9F9"/>
            <w:tcMar>
              <w:top w:w="100" w:type="dxa"/>
              <w:bottom w:w="100" w:type="dxa"/>
              <w:left w:w="150" w:type="dxa"/>
              <w:right w:w="150" w:type="dxa"/>
            </w:tcMar>
          </w:tcPr>
          <w:p>
            <w:pPr>
              <w:spacing w:after="0" w:before="0"/>
              <w:jc w:val="center"/>
            </w:pPr>
            <w:r>
              <w:rPr>
                <w:rFonts w:ascii="Arial" w:hAnsi="Arial"/>
                <w:b w:val="0"/>
                <w:i w:val="0"/>
                <w:sz w:val="18"/>
              </w:rPr>
              <w:t>2.94</w:t>
            </w:r>
          </w:p>
        </w:tc>
        <w:tc>
          <w:tcPr>
            <w:tcW w:type="dxa" w:w="1440"/>
            <w:shd w:fill="F9F9F9"/>
            <w:tcMar>
              <w:top w:w="100" w:type="dxa"/>
              <w:bottom w:w="100" w:type="dxa"/>
              <w:left w:w="150" w:type="dxa"/>
              <w:right w:w="150" w:type="dxa"/>
            </w:tcMar>
          </w:tcPr>
          <w:p>
            <w:pPr>
              <w:spacing w:after="0" w:before="0"/>
              <w:jc w:val="center"/>
            </w:pPr>
            <w:r>
              <w:rPr>
                <w:rFonts w:ascii="Arial" w:hAnsi="Arial"/>
                <w:b w:val="0"/>
                <w:i w:val="0"/>
                <w:sz w:val="18"/>
              </w:rPr>
              <w:t>0.9935</w:t>
            </w:r>
          </w:p>
        </w:tc>
      </w:tr>
    </w:tbl>
    <w:p>
      <w:pPr>
        <w:spacing w:before="240"/>
      </w:pPr>
    </w:p>
    <w:p>
      <w:r>
        <w:rPr>
          <w:rFonts w:ascii="Arial" w:hAnsi="Arial"/>
          <w:b/>
          <w:i w:val="0"/>
          <w:sz w:val="20"/>
        </w:rPr>
        <w:t>Tabla 7:</w:t>
      </w:r>
    </w:p>
    <w:p>
      <w:pPr>
        <w:spacing w:after="120"/>
      </w:pPr>
      <w:r>
        <w:rPr>
          <w:rFonts w:ascii="Arial" w:hAnsi="Arial"/>
          <w:b w:val="0"/>
          <w:i/>
          <w:sz w:val="20"/>
        </w:rPr>
        <w:t>Resumen del Comportamiento Espacio-Temporal de los Subcircuitos (2024-2026)</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4680"/>
        <w:gridCol w:w="4680"/>
      </w:tblGrid>
      <w:tr>
        <w:tc>
          <w:tcPr>
            <w:tcW w:type="dxa" w:w="5040"/>
            <w:shd w:fill="333333"/>
            <w:tcMar>
              <w:top w:w="120" w:type="dxa"/>
              <w:bottom w:w="120" w:type="dxa"/>
              <w:left w:w="150" w:type="dxa"/>
              <w:right w:w="150" w:type="dxa"/>
            </w:tcMar>
          </w:tcPr>
          <w:p>
            <w:pPr>
              <w:spacing w:after="0" w:before="0"/>
              <w:jc w:val="center"/>
            </w:pPr>
            <w:r>
              <w:rPr>
                <w:rFonts w:ascii="Arial" w:hAnsi="Arial"/>
                <w:b/>
                <w:i w:val="0"/>
                <w:color w:val="FFFFFF"/>
                <w:sz w:val="19"/>
              </w:rPr>
              <w:t>Clasificación Dinámica de Hotspots</w:t>
            </w:r>
          </w:p>
        </w:tc>
        <w:tc>
          <w:tcPr>
            <w:tcW w:type="dxa" w:w="2880"/>
            <w:shd w:fill="333333"/>
            <w:tcMar>
              <w:top w:w="120" w:type="dxa"/>
              <w:bottom w:w="120" w:type="dxa"/>
              <w:left w:w="150" w:type="dxa"/>
              <w:right w:w="150" w:type="dxa"/>
            </w:tcMar>
          </w:tcPr>
          <w:p>
            <w:pPr>
              <w:spacing w:after="0" w:before="0"/>
              <w:jc w:val="center"/>
            </w:pPr>
            <w:r>
              <w:rPr>
                <w:rFonts w:ascii="Arial" w:hAnsi="Arial"/>
                <w:b/>
                <w:i w:val="0"/>
                <w:color w:val="FFFFFF"/>
                <w:sz w:val="19"/>
              </w:rPr>
              <w:t>Número de Subcircuitos</w:t>
            </w:r>
          </w:p>
        </w:tc>
      </w:tr>
      <w:tr>
        <w:tc>
          <w:tcPr>
            <w:tcW w:type="dxa" w:w="5040"/>
            <w:shd w:fill="FFFFFF"/>
            <w:tcMar>
              <w:top w:w="100" w:type="dxa"/>
              <w:bottom w:w="100" w:type="dxa"/>
              <w:left w:w="150" w:type="dxa"/>
              <w:right w:w="150" w:type="dxa"/>
            </w:tcMar>
          </w:tcPr>
          <w:p>
            <w:pPr>
              <w:spacing w:after="0" w:before="0"/>
              <w:jc w:val="center"/>
            </w:pPr>
            <w:r>
              <w:rPr>
                <w:rFonts w:ascii="Arial" w:hAnsi="Arial"/>
                <w:b w:val="0"/>
                <w:i w:val="0"/>
                <w:sz w:val="18"/>
              </w:rPr>
              <w:t>ESTABLE / BAJO RIESGO</w:t>
            </w:r>
          </w:p>
        </w:tc>
        <w:tc>
          <w:tcPr>
            <w:tcW w:type="dxa" w:w="2880"/>
            <w:shd w:fill="FFFFFF"/>
            <w:tcMar>
              <w:top w:w="100" w:type="dxa"/>
              <w:bottom w:w="100" w:type="dxa"/>
              <w:left w:w="150" w:type="dxa"/>
              <w:right w:w="150" w:type="dxa"/>
            </w:tcMar>
          </w:tcPr>
          <w:p>
            <w:pPr>
              <w:spacing w:after="0" w:before="0"/>
              <w:jc w:val="center"/>
            </w:pPr>
            <w:r>
              <w:rPr>
                <w:rFonts w:ascii="Arial" w:hAnsi="Arial"/>
                <w:b w:val="0"/>
                <w:i w:val="0"/>
                <w:sz w:val="18"/>
              </w:rPr>
              <w:t>172</w:t>
            </w:r>
          </w:p>
        </w:tc>
      </w:tr>
      <w:tr>
        <w:tc>
          <w:tcPr>
            <w:tcW w:type="dxa" w:w="5040"/>
            <w:shd w:fill="F9F9F9"/>
            <w:tcMar>
              <w:top w:w="100" w:type="dxa"/>
              <w:bottom w:w="100" w:type="dxa"/>
              <w:left w:w="150" w:type="dxa"/>
              <w:right w:w="150" w:type="dxa"/>
            </w:tcMar>
          </w:tcPr>
          <w:p>
            <w:pPr>
              <w:spacing w:after="0" w:before="0"/>
              <w:jc w:val="center"/>
            </w:pPr>
            <w:r>
              <w:rPr>
                <w:rFonts w:ascii="Arial" w:hAnsi="Arial"/>
                <w:b w:val="0"/>
                <w:i w:val="0"/>
                <w:sz w:val="18"/>
              </w:rPr>
              <w:t>HOTSPOT PERSISTENTE</w:t>
            </w:r>
          </w:p>
        </w:tc>
        <w:tc>
          <w:tcPr>
            <w:tcW w:type="dxa" w:w="2880"/>
            <w:shd w:fill="F9F9F9"/>
            <w:tcMar>
              <w:top w:w="100" w:type="dxa"/>
              <w:bottom w:w="100" w:type="dxa"/>
              <w:left w:w="150" w:type="dxa"/>
              <w:right w:w="150" w:type="dxa"/>
            </w:tcMar>
          </w:tcPr>
          <w:p>
            <w:pPr>
              <w:spacing w:after="0" w:before="0"/>
              <w:jc w:val="center"/>
            </w:pPr>
            <w:r>
              <w:rPr>
                <w:rFonts w:ascii="Arial" w:hAnsi="Arial"/>
                <w:b w:val="0"/>
                <w:i w:val="0"/>
                <w:sz w:val="18"/>
              </w:rPr>
              <w:t>72</w:t>
            </w:r>
          </w:p>
        </w:tc>
      </w:tr>
    </w:tbl>
    <w:p>
      <w:pPr>
        <w:spacing w:before="240"/>
      </w:pPr>
    </w:p>
    <w:p>
      <w:r>
        <w:rPr>
          <w:rFonts w:ascii="Arial" w:hAnsi="Arial"/>
          <w:b/>
          <w:i w:val="0"/>
          <w:sz w:val="20"/>
        </w:rPr>
        <w:t>Tabla 8:</w:t>
      </w:r>
    </w:p>
    <w:p>
      <w:pPr>
        <w:spacing w:after="120"/>
      </w:pPr>
      <w:r>
        <w:rPr>
          <w:rFonts w:ascii="Arial" w:hAnsi="Arial"/>
          <w:b w:val="0"/>
          <w:i/>
          <w:sz w:val="20"/>
        </w:rPr>
        <w:t>Comparación de Modelos Bayesianos mediante Validación Cruzada LOO-CV (Escala Log ELPD)</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gridCol w:w="446"/>
      </w:tblGrid>
      <w:tr>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Modelo</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rank</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elpd_loo</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p_loo</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elpd_diff</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weight</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se</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dse</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warning</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scale</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ELBO_Final</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Variacion_ELBO_5k_Pct</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Criterio_Convergencia</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Iteraciones_ADVI</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Convergio</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k &lt; 0.5</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0.5 &lt;= k &lt;= 0.7</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k &gt; 0.7</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Advertencia_Pareto_k</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elpd_waic</w:t>
            </w:r>
          </w:p>
        </w:tc>
        <w:tc>
          <w:tcPr>
            <w:tcW w:type="dxa" w:w="446"/>
            <w:shd w:fill="333333"/>
            <w:tcMar>
              <w:top w:w="120" w:type="dxa"/>
              <w:bottom w:w="120" w:type="dxa"/>
              <w:left w:w="150" w:type="dxa"/>
              <w:right w:w="150" w:type="dxa"/>
            </w:tcMar>
          </w:tcPr>
          <w:p>
            <w:pPr>
              <w:spacing w:after="0" w:before="0"/>
              <w:jc w:val="center"/>
            </w:pPr>
            <w:r>
              <w:rPr>
                <w:rFonts w:ascii="Arial" w:hAnsi="Arial"/>
                <w:b/>
                <w:i w:val="0"/>
                <w:color w:val="FFFFFF"/>
                <w:sz w:val="19"/>
              </w:rPr>
              <w:t>p_waic</w:t>
            </w:r>
          </w:p>
        </w:tc>
      </w:tr>
      <w:tr>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Binomial Negativa (ICAR)</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0</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-1233.7458</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117.66</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0.9902</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26.76</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True</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log</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-1463.5655</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0.0239</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Var 5k &lt; 0.1%</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50000</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True</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371</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90</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27</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Advertencia: observaciones con k&gt;0.7 presentes</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-1219.5594</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103.47</w:t>
            </w:r>
          </w:p>
        </w:tc>
      </w:tr>
      <w:tr>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Binomial Negativa (ICAR + No Estructurado)</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-1241.6480</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126.09</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7.90</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0.0098</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27.92</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4.18</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True</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log</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-1480.2053</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0.0076</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Var 5k &lt; 0.1%</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50000</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True</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355</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95</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38</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Advertencia: observaciones con k&gt;0.7 presentes</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-1225.9192</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110.36</w:t>
            </w:r>
          </w:p>
        </w:tc>
      </w:tr>
      <w:tr>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BYM2 Binomial Negativo (Prior Beta(0.5, 0.5))</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2</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-1242.9201</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127.38</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9.17</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28.03</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4.35</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True</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log</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-1479.3894</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0.0052</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Var 5k &lt; 0.1%</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50000</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True</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357</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96</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35</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Advertencia: observaciones con k&gt;0.7 presentes</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-1226.4534</w:t>
            </w:r>
          </w:p>
        </w:tc>
        <w:tc>
          <w:tcPr>
            <w:tcW w:type="dxa" w:w="446"/>
            <w:shd w:fill="FFFFFF"/>
            <w:tcMar>
              <w:top w:w="100" w:type="dxa"/>
              <w:bottom w:w="100" w:type="dxa"/>
              <w:left w:w="150" w:type="dxa"/>
              <w:right w:w="150" w:type="dxa"/>
            </w:tcMar>
          </w:tcPr>
          <w:p>
            <w:pPr>
              <w:spacing w:after="0" w:before="0"/>
              <w:jc w:val="center"/>
            </w:pPr>
            <w:r>
              <w:rPr>
                <w:rFonts w:ascii="Arial" w:hAnsi="Arial"/>
                <w:b w:val="0"/>
                <w:i w:val="0"/>
                <w:sz w:val="18"/>
              </w:rPr>
              <w:t>110.91</w:t>
            </w:r>
          </w:p>
        </w:tc>
      </w:tr>
      <w:tr>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Poisson Jerárquico</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3</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-1369.2207</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302.19</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135.47</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44.14</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25.22</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True</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log</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-1475.0240</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0.1382</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Var 5k &lt; 0.1%</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50000</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False</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256</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140</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92</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Advertencia: observaciones con k&gt;0.7 presentes</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-1327.7825</w:t>
            </w:r>
          </w:p>
        </w:tc>
        <w:tc>
          <w:tcPr>
            <w:tcW w:type="dxa" w:w="446"/>
            <w:shd w:fill="F9F9F9"/>
            <w:tcMar>
              <w:top w:w="100" w:type="dxa"/>
              <w:bottom w:w="100" w:type="dxa"/>
              <w:left w:w="150" w:type="dxa"/>
              <w:right w:w="150" w:type="dxa"/>
            </w:tcMar>
          </w:tcPr>
          <w:p>
            <w:pPr>
              <w:spacing w:after="0" w:before="0"/>
              <w:jc w:val="center"/>
            </w:pPr>
            <w:r>
              <w:rPr>
                <w:rFonts w:ascii="Arial" w:hAnsi="Arial"/>
                <w:b w:val="0"/>
                <w:i w:val="0"/>
                <w:sz w:val="18"/>
              </w:rPr>
              <w:t>260.75</w:t>
            </w:r>
          </w:p>
        </w:tc>
      </w:tr>
    </w:tbl>
    <w:p>
      <w:pPr>
        <w:spacing w:before="240"/>
      </w:pPr>
    </w:p>
    <w:p>
      <w:pPr>
        <w:spacing w:after="240" w:line="276" w:lineRule="auto"/>
      </w:pPr>
      <w:r>
        <w:rPr>
          <w:rFonts w:ascii="Arial" w:hAnsi="Arial"/>
          <w:b/>
          <w:i w:val="0"/>
          <w:sz w:val="21"/>
        </w:rPr>
        <w:t>Nota Metodológica sobre Inferencia Variacional (ADVI), Comparación de Modelos y Validación con NUTS:</w:t>
        <w:br/>
      </w:r>
      <w:r>
        <w:rPr>
          <w:rFonts w:ascii="Arial" w:hAnsi="Arial"/>
          <w:b w:val="0"/>
          <w:i w:val="0"/>
          <w:sz w:val="19"/>
        </w:rPr>
        <w:t>1. Inferencia Principal mediante ADVI y Criterio Unificado de Convergencia: El método principal de estimación de la tesis es Inferencia Variacional por Diferenciación Automática (ADVI) en PyMC, optimizando el ELBO mediante Adam (learning_rate = 0.005) durante 50,000 iteraciones. Se definió un criterio formal de convergencia unificado: la variación de la media móvil del ELBO en las últimas 5,000 iteraciones respecto a las 5,000 anteriores debe ser menor al 0.1% (&lt; 0.001).</w:t>
        <w:br/>
        <w:t>2. Modelo de Referencia por Capacidad Predictiva: En la comparación formal fuera de muestra (LOO-CV), el Modelo (c) Binomial Negativa (ICAR + heterogeneidad no estructurada Besag et al. 1991) obtiene la mayor densidad predictiva esperada (mejor ELPD_LOO) y se establece como el modelo de referencia metodológica. El Modelo (d) BYM2 con prior Beta(0.5, 0.5) empata estadísticamente (|ΔELPD| &lt; 2·dse), confirmando capacidad predictiva equivalente.</w:t>
        <w:br/>
        <w:t>3. Parámetro de Mezcla Espacial (rho) y Advertencia Interpretativa: En el modelo BYM2, el parámetro rho con prior Beta(0.5, 0.5) presenta una fuerte discrepancia entre métodos de inferencia: bajo ADVI converge a rho ≈ 0.027, mientras que bajo muestreo exacto NUTS converge a rho ≈ 0.813. Por consiguiente, se advierte explícitamente que la lectura de rho bajo ADVI no es fiable para cuantificar la proporción de varianza espacial atribuible a contigüidad territorial.</w:t>
        <w:br/>
        <w:t>4. Diagnóstico de Pareto-k: En paneles cortos (T = 2 años) sobre 244 subcircuitos, la exclusión de una observación modifica la distribución condicional de los efectos latentes locales, elevando las ponderaciones de importancia con valores de k &gt; 0.7. Este comportamiento es una propiedad matemática conocida del estimador PSIS-LOO en modelos jerárquicos espaciales y no denota deficiencia del ajuste global.</w:t>
        <w:br/>
        <w:t>5. Contraste Anual (2025 vs. 2024): Al modelar dos años completos, un proceso autorregresivo RW1 no es paramétricamente identificable frente al intercepto cantonal. La especificación de un contraste fijo de año (beta_year con 2024 como referencia) resuelve la identificabilidad y provee una estimación directa de la variación cantonal en 2025.</w:t>
        <w:br/>
        <w:t>6. Validación Metodológica contra NUTS: Como prueba de contraste rigurosa, se ajustó NUTS MCMC tanto para el Modelo (c) como para el Modelo (d). La validación empírica demuestra que ADVI reproduce fielmente el efecto temporal fijo de año (beta_year) y el ordenamiento de los riesgos relativos espaciales (correlación de Pearson r &gt; 0.98 y Spearman rho &gt; 0.98). Sin embargo, ADVI subestima la incertidumbre posterior (desviaciones estándar reducidas entre 40% y 70%) y distorsiona los hiperparámetros de escala y dispersión (sigma_s, rho, alpha_disp). En consecuencia, para la toma de decisiones territoriales y reporte científico, los hiperparámetros deben reportarse comparando ambos métodos.</w:t>
      </w:r>
    </w:p>
    <w:p>
      <w:r>
        <w:rPr>
          <w:rFonts w:ascii="Arial" w:hAnsi="Arial"/>
          <w:b/>
          <w:i w:val="0"/>
          <w:sz w:val="20"/>
        </w:rPr>
        <w:t>Tabla 9:</w:t>
      </w:r>
    </w:p>
    <w:p>
      <w:pPr>
        <w:spacing w:after="120"/>
      </w:pPr>
      <w:r>
        <w:rPr>
          <w:rFonts w:ascii="Arial" w:hAnsi="Arial"/>
          <w:b w:val="0"/>
          <w:i/>
          <w:sz w:val="20"/>
        </w:rPr>
        <w:t>Estimación del Contraste Fijo Anual de Riesgo de Homicidios (2025 frente a 2024)</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936"/>
        <w:gridCol w:w="936"/>
        <w:gridCol w:w="936"/>
        <w:gridCol w:w="936"/>
        <w:gridCol w:w="936"/>
        <w:gridCol w:w="936"/>
        <w:gridCol w:w="936"/>
        <w:gridCol w:w="936"/>
        <w:gridCol w:w="936"/>
        <w:gridCol w:w="936"/>
      </w:tblGrid>
      <w:tr>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Año</w:t>
            </w:r>
          </w:p>
        </w:tc>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Coeficiente_Log_Media</w:t>
            </w:r>
          </w:p>
        </w:tc>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Coeficiente_Log_Mediana</w:t>
            </w:r>
          </w:p>
        </w:tc>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HDI_inf_95</w:t>
            </w:r>
          </w:p>
        </w:tc>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HDI_sup_95</w:t>
            </w:r>
          </w:p>
        </w:tc>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Riesgo_Relativo_Media</w:t>
            </w:r>
          </w:p>
        </w:tc>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Riesgo_Relativo_Mediana</w:t>
            </w:r>
          </w:p>
        </w:tc>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RR_HDI_inf_95</w:t>
            </w:r>
          </w:p>
        </w:tc>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RR_HDI_sup_95</w:t>
            </w:r>
          </w:p>
        </w:tc>
        <w:tc>
          <w:tcPr>
            <w:tcW w:type="dxa" w:w="936"/>
            <w:shd w:fill="333333"/>
            <w:tcMar>
              <w:top w:w="120" w:type="dxa"/>
              <w:bottom w:w="120" w:type="dxa"/>
              <w:left w:w="150" w:type="dxa"/>
              <w:right w:w="150" w:type="dxa"/>
            </w:tcMar>
          </w:tcPr>
          <w:p>
            <w:pPr>
              <w:spacing w:after="0" w:before="0"/>
              <w:jc w:val="center"/>
            </w:pPr>
            <w:r>
              <w:rPr>
                <w:rFonts w:ascii="Arial" w:hAnsi="Arial"/>
                <w:b/>
                <w:i w:val="0"/>
                <w:color w:val="FFFFFF"/>
                <w:sz w:val="19"/>
              </w:rPr>
              <w:t>Interpretacion</w:t>
            </w:r>
          </w:p>
        </w:tc>
      </w:tr>
      <w:tr>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2024</w:t>
            </w:r>
          </w:p>
        </w:tc>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1.00</w:t>
            </w:r>
          </w:p>
        </w:tc>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1.00</w:t>
            </w:r>
          </w:p>
        </w:tc>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1.00</w:t>
            </w:r>
          </w:p>
        </w:tc>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1.00</w:t>
            </w:r>
          </w:p>
        </w:tc>
        <w:tc>
          <w:tcPr>
            <w:tcW w:type="dxa" w:w="936"/>
            <w:shd w:fill="FFFFFF"/>
            <w:tcMar>
              <w:top w:w="100" w:type="dxa"/>
              <w:bottom w:w="100" w:type="dxa"/>
              <w:left w:w="150" w:type="dxa"/>
              <w:right w:w="150" w:type="dxa"/>
            </w:tcMar>
          </w:tcPr>
          <w:p>
            <w:pPr>
              <w:spacing w:after="0" w:before="0"/>
              <w:jc w:val="center"/>
            </w:pPr>
            <w:r>
              <w:rPr>
                <w:rFonts w:ascii="Arial" w:hAnsi="Arial"/>
                <w:b w:val="0"/>
                <w:i w:val="0"/>
                <w:sz w:val="18"/>
              </w:rPr>
              <w:t>Línea base cantonal de referencia (2024)</w:t>
            </w:r>
          </w:p>
        </w:tc>
      </w:tr>
      <w:tr>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2025</w:t>
            </w:r>
          </w:p>
        </w:tc>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0.3207</w:t>
            </w:r>
          </w:p>
        </w:tc>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0.3201</w:t>
            </w:r>
          </w:p>
        </w:tc>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0.2521</w:t>
            </w:r>
          </w:p>
        </w:tc>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0.3922</w:t>
            </w:r>
          </w:p>
        </w:tc>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1.38</w:t>
            </w:r>
          </w:p>
        </w:tc>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1.38</w:t>
            </w:r>
          </w:p>
        </w:tc>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1.29</w:t>
            </w:r>
          </w:p>
        </w:tc>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1.48</w:t>
            </w:r>
          </w:p>
        </w:tc>
        <w:tc>
          <w:tcPr>
            <w:tcW w:type="dxa" w:w="936"/>
            <w:shd w:fill="F9F9F9"/>
            <w:tcMar>
              <w:top w:w="100" w:type="dxa"/>
              <w:bottom w:w="100" w:type="dxa"/>
              <w:left w:w="150" w:type="dxa"/>
              <w:right w:w="150" w:type="dxa"/>
            </w:tcMar>
          </w:tcPr>
          <w:p>
            <w:pPr>
              <w:spacing w:after="0" w:before="0"/>
              <w:jc w:val="center"/>
            </w:pPr>
            <w:r>
              <w:rPr>
                <w:rFonts w:ascii="Arial" w:hAnsi="Arial"/>
                <w:b w:val="0"/>
                <w:i w:val="0"/>
                <w:sz w:val="18"/>
              </w:rPr>
              <w:t>Variación neta estimada de +37.7% en la tasa de homicidios en 2025 frente a 2024</w:t>
            </w:r>
          </w:p>
        </w:tc>
      </w:tr>
    </w:tbl>
    <w:p>
      <w:pPr>
        <w:spacing w:before="240"/>
      </w:pPr>
    </w:p>
    <w:p>
      <w:r>
        <w:rPr>
          <w:rFonts w:ascii="Arial" w:hAnsi="Arial"/>
          <w:b/>
          <w:i w:val="0"/>
          <w:sz w:val="20"/>
        </w:rPr>
        <w:t>Tabla 10:</w:t>
      </w:r>
    </w:p>
    <w:p>
      <w:pPr>
        <w:spacing w:after="120"/>
      </w:pPr>
      <w:r>
        <w:rPr>
          <w:rFonts w:ascii="Arial" w:hAnsi="Arial"/>
          <w:b w:val="0"/>
          <w:i/>
          <w:sz w:val="20"/>
        </w:rPr>
        <w:t>Diagnósticos de Inferencia Variacional ADVI y Métricas de Convergencia</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4680"/>
        <w:gridCol w:w="4680"/>
      </w:tblGrid>
      <w:tr>
        <w:tc>
          <w:tcPr>
            <w:tcW w:type="dxa" w:w="4680"/>
            <w:shd w:fill="333333"/>
            <w:tcMar>
              <w:top w:w="120" w:type="dxa"/>
              <w:bottom w:w="120" w:type="dxa"/>
              <w:left w:w="150" w:type="dxa"/>
              <w:right w:w="150" w:type="dxa"/>
            </w:tcMar>
          </w:tcPr>
          <w:p>
            <w:pPr>
              <w:spacing w:after="0" w:before="0"/>
              <w:jc w:val="center"/>
            </w:pPr>
            <w:r>
              <w:rPr>
                <w:rFonts w:ascii="Arial" w:hAnsi="Arial"/>
                <w:b/>
                <w:i w:val="0"/>
                <w:color w:val="FFFFFF"/>
                <w:sz w:val="19"/>
              </w:rPr>
              <w:t>Diagnóstico</w:t>
            </w:r>
          </w:p>
        </w:tc>
        <w:tc>
          <w:tcPr>
            <w:tcW w:type="dxa" w:w="4680"/>
            <w:shd w:fill="333333"/>
            <w:tcMar>
              <w:top w:w="120" w:type="dxa"/>
              <w:bottom w:w="120" w:type="dxa"/>
              <w:left w:w="150" w:type="dxa"/>
              <w:right w:w="150" w:type="dxa"/>
            </w:tcMar>
          </w:tcPr>
          <w:p>
            <w:pPr>
              <w:spacing w:after="0" w:before="0"/>
              <w:jc w:val="center"/>
            </w:pPr>
            <w:r>
              <w:rPr>
                <w:rFonts w:ascii="Arial" w:hAnsi="Arial"/>
                <w:b/>
                <w:i w:val="0"/>
                <w:color w:val="FFFFFF"/>
                <w:sz w:val="19"/>
              </w:rPr>
              <w:t>Valor</w:t>
            </w:r>
          </w:p>
        </w:tc>
      </w:tr>
      <w:tr>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Modelo Evaluado</w:t>
            </w:r>
          </w:p>
        </w:tc>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Modelo (c) Binomial Negativa (ICAR + No Estructurado) [Mejor LOO-CV]</w:t>
            </w:r>
          </w:p>
        </w:tc>
      </w:tr>
      <w:tr>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Método de Inferencia</w:t>
            </w:r>
          </w:p>
        </w:tc>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ADVI (Automatic Differentiation Variational Inference, Adam lr=0.005)</w:t>
            </w:r>
          </w:p>
        </w:tc>
      </w:tr>
      <w:tr>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Muestras Posteriores Extraídas</w:t>
            </w:r>
          </w:p>
        </w:tc>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2000</w:t>
            </w:r>
          </w:p>
        </w:tc>
      </w:tr>
      <w:tr>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Criterio de Convergencia</w:t>
            </w:r>
          </w:p>
        </w:tc>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Variación media móvil ELBO últimas 5,000 iteraciones &lt; 0.1%</w:t>
            </w:r>
          </w:p>
        </w:tc>
      </w:tr>
      <w:tr>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ELPD_WAIC</w:t>
            </w:r>
          </w:p>
        </w:tc>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-1219.5594</w:t>
            </w:r>
          </w:p>
        </w:tc>
      </w:tr>
      <w:tr>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ELPD_WAIC_SE</w:t>
            </w:r>
          </w:p>
        </w:tc>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25.82</w:t>
            </w:r>
          </w:p>
        </w:tc>
      </w:tr>
      <w:tr>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p_WAIC</w:t>
            </w:r>
          </w:p>
        </w:tc>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103.47</w:t>
            </w:r>
          </w:p>
        </w:tc>
      </w:tr>
      <w:tr>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ELPD_LOO</w:t>
            </w:r>
          </w:p>
        </w:tc>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-1233.7458</w:t>
            </w:r>
          </w:p>
        </w:tc>
      </w:tr>
      <w:tr>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ELPD_LOO_SE</w:t>
            </w:r>
          </w:p>
        </w:tc>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26.76</w:t>
            </w:r>
          </w:p>
        </w:tc>
      </w:tr>
      <w:tr>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p_LOO</w:t>
            </w:r>
          </w:p>
        </w:tc>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117.66</w:t>
            </w:r>
          </w:p>
        </w:tc>
      </w:tr>
      <w:tr>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Pareto-k &lt; 0.5 (Observaciones)</w:t>
            </w:r>
          </w:p>
        </w:tc>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371</w:t>
            </w:r>
          </w:p>
        </w:tc>
      </w:tr>
      <w:tr>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Pareto-k [0.5, 0.7] (Observaciones)</w:t>
            </w:r>
          </w:p>
        </w:tc>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90</w:t>
            </w:r>
          </w:p>
        </w:tc>
      </w:tr>
      <w:tr>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Pareto-k &gt; 0.7 (Observaciones)</w:t>
            </w:r>
          </w:p>
        </w:tc>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27</w:t>
            </w:r>
          </w:p>
        </w:tc>
      </w:tr>
      <w:tr>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Advertencia Pareto-k</w:t>
            </w:r>
          </w:p>
        </w:tc>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Advertencia: observaciones con k&gt;0.7 presentes</w:t>
            </w:r>
          </w:p>
        </w:tc>
      </w:tr>
      <w:tr>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Beta_Year Media Posterior</w:t>
            </w:r>
          </w:p>
        </w:tc>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0.3207</w:t>
            </w:r>
          </w:p>
        </w:tc>
      </w:tr>
      <w:tr>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Beta_Year HDI 95% Inferior</w:t>
            </w:r>
          </w:p>
        </w:tc>
        <w:tc>
          <w:tcPr>
            <w:tcW w:type="dxa" w:w="4680"/>
            <w:shd w:fill="F9F9F9"/>
            <w:tcMar>
              <w:top w:w="100" w:type="dxa"/>
              <w:bottom w:w="100" w:type="dxa"/>
              <w:left w:w="150" w:type="dxa"/>
              <w:right w:w="150" w:type="dxa"/>
            </w:tcMar>
          </w:tcPr>
          <w:p>
            <w:pPr>
              <w:spacing w:after="0" w:before="0"/>
              <w:jc w:val="center"/>
            </w:pPr>
            <w:r>
              <w:rPr>
                <w:rFonts w:ascii="Arial" w:hAnsi="Arial"/>
                <w:b w:val="0"/>
                <w:i w:val="0"/>
                <w:sz w:val="18"/>
              </w:rPr>
              <w:t>0.2521</w:t>
            </w:r>
          </w:p>
        </w:tc>
      </w:tr>
      <w:tr>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Beta_Year HDI 95% Superior</w:t>
            </w:r>
          </w:p>
        </w:tc>
        <w:tc>
          <w:tcPr>
            <w:tcW w:type="dxa" w:w="4680"/>
            <w:shd w:fill="FFFFFF"/>
            <w:tcMar>
              <w:top w:w="100" w:type="dxa"/>
              <w:bottom w:w="100" w:type="dxa"/>
              <w:left w:w="150" w:type="dxa"/>
              <w:right w:w="150" w:type="dxa"/>
            </w:tcMar>
          </w:tcPr>
          <w:p>
            <w:pPr>
              <w:spacing w:after="0" w:before="0"/>
              <w:jc w:val="center"/>
            </w:pPr>
            <w:r>
              <w:rPr>
                <w:rFonts w:ascii="Arial" w:hAnsi="Arial"/>
                <w:b w:val="0"/>
                <w:i w:val="0"/>
                <w:sz w:val="18"/>
              </w:rPr>
              <w:t>0.3922</w:t>
            </w:r>
          </w:p>
        </w:tc>
      </w:tr>
    </w:tbl>
    <w:p>
      <w:pPr>
        <w:spacing w:before="240"/>
      </w:pPr>
    </w:p>
    <w:p>
      <w:r>
        <w:rPr>
          <w:rFonts w:ascii="Arial" w:hAnsi="Arial"/>
          <w:b/>
          <w:i w:val="0"/>
          <w:sz w:val="20"/>
        </w:rPr>
        <w:t>Tabla 11:</w:t>
      </w:r>
    </w:p>
    <w:p>
      <w:pPr>
        <w:spacing w:after="120"/>
      </w:pPr>
      <w:r>
        <w:rPr>
          <w:rFonts w:ascii="Arial" w:hAnsi="Arial"/>
          <w:b w:val="0"/>
          <w:i/>
          <w:sz w:val="20"/>
        </w:rPr>
        <w:t>Evaluación de Estabilidad del Modelo de Referencia ADVI ante Variación de Semillas Iniciales (3 Semillas)</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551"/>
        <w:gridCol w:w="551"/>
        <w:gridCol w:w="551"/>
        <w:gridCol w:w="551"/>
        <w:gridCol w:w="551"/>
        <w:gridCol w:w="551"/>
        <w:gridCol w:w="551"/>
        <w:gridCol w:w="551"/>
        <w:gridCol w:w="551"/>
        <w:gridCol w:w="551"/>
        <w:gridCol w:w="551"/>
        <w:gridCol w:w="551"/>
        <w:gridCol w:w="551"/>
        <w:gridCol w:w="551"/>
        <w:gridCol w:w="551"/>
        <w:gridCol w:w="551"/>
        <w:gridCol w:w="551"/>
      </w:tblGrid>
      <w:tr>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Semilla</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ELBO_Final</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Variacion_ELBO_Ultimas_5k_Pct</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Criterio_Convergencia</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Convergio</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alpha_media</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alpha_sd</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beta_year_media</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beta_year_sd</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beta_area_media</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beta_area_sd</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sigma_phi_media</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sigma_phi_sd</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sigma_theta_media</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sigma_theta_sd</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alpha_disp_media</w:t>
            </w:r>
          </w:p>
        </w:tc>
        <w:tc>
          <w:tcPr>
            <w:tcW w:type="dxa" w:w="551"/>
            <w:shd w:fill="333333"/>
            <w:tcMar>
              <w:top w:w="120" w:type="dxa"/>
              <w:bottom w:w="120" w:type="dxa"/>
              <w:left w:w="150" w:type="dxa"/>
              <w:right w:w="150" w:type="dxa"/>
            </w:tcMar>
          </w:tcPr>
          <w:p>
            <w:pPr>
              <w:spacing w:after="0" w:before="0"/>
              <w:jc w:val="center"/>
            </w:pPr>
            <w:r>
              <w:rPr>
                <w:rFonts w:ascii="Arial" w:hAnsi="Arial"/>
                <w:b/>
                <w:i w:val="0"/>
                <w:color w:val="FFFFFF"/>
                <w:sz w:val="19"/>
              </w:rPr>
              <w:t>alpha_disp_sd</w:t>
            </w:r>
          </w:p>
        </w:tc>
      </w:tr>
      <w:tr>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42</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-1480.2100</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0.0076</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Var 5k &lt; 0.1%</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Sí</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1.33</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0.0252</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0.3126</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0.0357</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0.3215</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0.0214</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2.56</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0.0494</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0.0192</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0.0155</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7.10</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0.8997</w:t>
            </w:r>
          </w:p>
        </w:tc>
      </w:tr>
      <w:tr>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123</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-1410.7700</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0.0638</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Var 5k &lt; 0.1%</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Sí</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1.35</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0.0252</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0.3196</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0.0363</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0.3161</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0.0206</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2.61</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0.0565</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0.0205</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0.0175</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7.20</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0.9431</w:t>
            </w:r>
          </w:p>
        </w:tc>
      </w:tr>
      <w:tr>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999</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-1427.0400</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0.0578</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Var 5k &lt; 0.1%</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Sí</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1.33</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0.0263</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0.3113</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0.0338</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0.3256</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0.0196</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2.61</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0.0562</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0.0189</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0.0142</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7.25</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0.9228</w:t>
            </w:r>
          </w:p>
        </w:tc>
      </w:tr>
      <w:tr>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Media (Entre Semillas)</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-1439.3400</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0.0431</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Var 5k &lt; 0.1%</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Sí (3/3)</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1.34</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0.0255</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0.3145</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0.0353</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0.3211</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0.0205</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2.59</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0.0540</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0.0195</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0.0157</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7.19</w:t>
            </w:r>
          </w:p>
        </w:tc>
        <w:tc>
          <w:tcPr>
            <w:tcW w:type="dxa" w:w="551"/>
            <w:shd w:fill="F9F9F9"/>
            <w:tcMar>
              <w:top w:w="100" w:type="dxa"/>
              <w:bottom w:w="100" w:type="dxa"/>
              <w:left w:w="150" w:type="dxa"/>
              <w:right w:w="150" w:type="dxa"/>
            </w:tcMar>
          </w:tcPr>
          <w:p>
            <w:pPr>
              <w:spacing w:after="0" w:before="0"/>
              <w:jc w:val="center"/>
            </w:pPr>
            <w:r>
              <w:rPr>
                <w:rFonts w:ascii="Arial" w:hAnsi="Arial"/>
                <w:b w:val="0"/>
                <w:i w:val="0"/>
                <w:sz w:val="18"/>
              </w:rPr>
              <w:t>0.9219</w:t>
            </w:r>
          </w:p>
        </w:tc>
      </w:tr>
      <w:tr>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Desv. Est. (Entre Semillas)</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36.32</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0.0309</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0.0113</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0.0006</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0.0045</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0.0013</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0.0047</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0.0009</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0.0273</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0.0040</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0.0008</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0.0017</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0.0786</w:t>
            </w:r>
          </w:p>
        </w:tc>
        <w:tc>
          <w:tcPr>
            <w:tcW w:type="dxa" w:w="551"/>
            <w:shd w:fill="FFFFFF"/>
            <w:tcMar>
              <w:top w:w="100" w:type="dxa"/>
              <w:bottom w:w="100" w:type="dxa"/>
              <w:left w:w="150" w:type="dxa"/>
              <w:right w:w="150" w:type="dxa"/>
            </w:tcMar>
          </w:tcPr>
          <w:p>
            <w:pPr>
              <w:spacing w:after="0" w:before="0"/>
              <w:jc w:val="center"/>
            </w:pPr>
            <w:r>
              <w:rPr>
                <w:rFonts w:ascii="Arial" w:hAnsi="Arial"/>
                <w:b w:val="0"/>
                <w:i w:val="0"/>
                <w:sz w:val="18"/>
              </w:rPr>
              <w:t>0.0217</w:t>
            </w:r>
          </w:p>
        </w:tc>
      </w:tr>
    </w:tbl>
    <w:p>
      <w:pPr>
        <w:spacing w:before="240"/>
      </w:pPr>
    </w:p>
    <w:p>
      <w:r>
        <w:rPr>
          <w:rFonts w:ascii="Arial" w:hAnsi="Arial"/>
          <w:b/>
          <w:i w:val="0"/>
          <w:sz w:val="20"/>
        </w:rPr>
        <w:t>Tabla 12:</w:t>
      </w:r>
    </w:p>
    <w:p>
      <w:pPr>
        <w:spacing w:after="120"/>
      </w:pPr>
      <w:r>
        <w:rPr>
          <w:rFonts w:ascii="Arial" w:hAnsi="Arial"/>
          <w:b w:val="0"/>
          <w:i/>
          <w:sz w:val="20"/>
        </w:rPr>
        <w:t>Validación Metodológica</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780"/>
        <w:gridCol w:w="780"/>
        <w:gridCol w:w="780"/>
        <w:gridCol w:w="780"/>
        <w:gridCol w:w="780"/>
        <w:gridCol w:w="780"/>
        <w:gridCol w:w="780"/>
        <w:gridCol w:w="780"/>
        <w:gridCol w:w="780"/>
        <w:gridCol w:w="780"/>
        <w:gridCol w:w="780"/>
        <w:gridCol w:w="780"/>
      </w:tblGrid>
      <w:tr>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Modelo</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Parámetro</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Media_ADVI</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SD_ADVI</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HDI_95_ADVI</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Media_NUTS</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SD_NUTS</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HDI_95_NUTS</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Diferencia_Relativa_Medias_Pct</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Ratio_SD (ADVI/NUTS)</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Subestimacion_Incertidumbre_Pct</w:t>
            </w:r>
          </w:p>
        </w:tc>
        <w:tc>
          <w:tcPr>
            <w:tcW w:type="dxa" w:w="780"/>
            <w:shd w:fill="333333"/>
            <w:tcMar>
              <w:top w:w="120" w:type="dxa"/>
              <w:bottom w:w="120" w:type="dxa"/>
              <w:left w:w="150" w:type="dxa"/>
              <w:right w:w="150" w:type="dxa"/>
            </w:tcMar>
          </w:tcPr>
          <w:p>
            <w:pPr>
              <w:spacing w:after="0" w:before="0"/>
              <w:jc w:val="center"/>
            </w:pPr>
            <w:r>
              <w:rPr>
                <w:rFonts w:ascii="Arial" w:hAnsi="Arial"/>
                <w:b/>
                <w:i w:val="0"/>
                <w:color w:val="FFFFFF"/>
                <w:sz w:val="19"/>
              </w:rPr>
              <w:t>HDI_ADVI_Contiene_Media_NUTS</w:t>
            </w:r>
          </w:p>
        </w:tc>
      </w:tr>
      <w:tr>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Modelo (c) Besag ICAR + No Estructurado (Mejor LOO)</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Intercepto Cantonal (alpha)</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1.33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0.0252</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[1.2811, 1.3805]</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1.37</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0.0651</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[1.2433, 1.4991]</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-2.7900</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0.3863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+61.4%</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SÍ</w:t>
            </w:r>
          </w:p>
        </w:tc>
      </w:tr>
      <w:tr>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Modelo (c) Besag ICAR + No Estructurado (Mejor LOO)</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Contraste Anual 2025 vs 2024 (beta_year)</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0.3126</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0.0357</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[0.2438, 0.3853]</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0.3101</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0.0577</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[0.1934, 0.4225]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0.7900</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0.6200</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+38.0%</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SÍ</w:t>
            </w:r>
          </w:p>
        </w:tc>
      </w:tr>
      <w:tr>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Modelo (c) Besag ICAR + No Estructurado (Mejor LOO)</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Elasticidad Área Territorial (beta_area)</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0.3215</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0.0214</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[0.2788, 0.3617]</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0.2322</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0.0737</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[0.0959, 0.3861]</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38.45</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0.2906</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+70.9%</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NO</w:t>
            </w:r>
          </w:p>
        </w:tc>
      </w:tr>
      <w:tr>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Modelo (c) Besag ICAR + No Estructurado (Mejor LOO)</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Escala Espacial ICAR (sigma_phi)</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2.56</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0.0494</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[2.4639, 2.6605]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1.59</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0.2440</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[1.1373, 2.0912]</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61.22</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0.2025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+79.8%</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NO</w:t>
            </w:r>
          </w:p>
        </w:tc>
      </w:tr>
      <w:tr>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Modelo (c) Besag ICAR + No Estructurado (Mejor LOO)</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Escala Efecto No Estructurado (sigma_theta)</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0.0192</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0.0155</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[0.0036, 0.0607]</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0.5803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0.1688</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[0.1196, 0.8542]</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-96.6900</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0.0917</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+90.8%</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NO</w:t>
            </w:r>
          </w:p>
        </w:tc>
      </w:tr>
      <w:tr>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Modelo (c) Besag ICAR + No Estructurado (Mejor LOO)</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Dispersión Binomial Negativa (alpha_disp)</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7.10</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0.8997</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[5.5396, 9.1767]</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5.32</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0.8704</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[3.7865, 7.2327]</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33.35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1.03</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-3.4%</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NO</w:t>
            </w:r>
          </w:p>
        </w:tc>
      </w:tr>
      <w:tr>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Modelo (d) BYM2 (Prior Beta(0.5, 0.5))</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Intercepto Cantonal (alpha)</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1.33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0.0252</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[1.2817, 1.3812]</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1.37</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0.0650</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[1.2449, 1.4973]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-2.7400</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0.3870</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+61.3%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SÍ</w:t>
            </w:r>
          </w:p>
        </w:tc>
      </w:tr>
      <w:tr>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Modelo (d) BYM2 (Prior Beta(0.5, 0.5))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Contraste Anual 2025 vs 2024 (beta_year)</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0.3126</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0.0359</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[0.2436, 0.3856]</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0.3112</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0.0609</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[0.1926, 0.4336]</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0.4500</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0.5892</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+41.1%</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SÍ</w:t>
            </w:r>
          </w:p>
        </w:tc>
      </w:tr>
      <w:tr>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Modelo (d) BYM2 (Prior Beta(0.5, 0.5))</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Elasticidad Área Territorial (beta_area)</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0.3212</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0.0213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[0.2788, 0.3613]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0.2299</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0.0733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[0.0918, 0.3782]</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39.73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0.2908</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+70.9%</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NO</w:t>
            </w:r>
          </w:p>
        </w:tc>
      </w:tr>
      <w:tr>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Modelo (d) BYM2 (Prior Beta(0.5, 0.5))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Escala Espacial Total BYM2 (sigma_s)</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2.22</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0.0429</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[2.1384, 2.3089]</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1.50</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0.1559</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[1.2232, 1.8205]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48.10</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0.2749</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+72.5%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NO</w:t>
            </w:r>
          </w:p>
        </w:tc>
      </w:tr>
      <w:tr>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Modelo (d) BYM2 (Prior Beta(0.5, 0.5))</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Parámetro de Mezcla Espacial Beta(0.5, 0.5) (rho)</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0.9998</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0.0007</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[0.9991, 1.0000]</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0.8199</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0.1055</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[0.5762, 0.9932]</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21.94</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0.0069</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+99.3%</w:t>
            </w:r>
          </w:p>
        </w:tc>
        <w:tc>
          <w:tcPr>
            <w:tcW w:type="dxa" w:w="780"/>
            <w:shd w:fill="FFFFFF"/>
            <w:tcMar>
              <w:top w:w="100" w:type="dxa"/>
              <w:bottom w:w="100" w:type="dxa"/>
              <w:left w:w="150" w:type="dxa"/>
              <w:right w:w="150" w:type="dxa"/>
            </w:tcMar>
          </w:tcPr>
          <w:p>
            <w:pPr>
              <w:spacing w:after="0" w:before="0"/>
              <w:jc w:val="center"/>
            </w:pPr>
            <w:r>
              <w:rPr>
                <w:rFonts w:ascii="Arial" w:hAnsi="Arial"/>
                <w:b w:val="0"/>
                <w:i w:val="0"/>
                <w:sz w:val="18"/>
              </w:rPr>
              <w:t>NO</w:t>
            </w:r>
          </w:p>
        </w:tc>
      </w:tr>
      <w:tr>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Modelo (d) BYM2 (Prior Beta(0.5, 0.5))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Dispersión Binomial Negativa (alpha_disp)</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7.12</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0.9011</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[5.5562, 9.1987]</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5.32</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0.8944</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[3.8222, 7.2670]</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33.85</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1.01</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-0.8%</w:t>
            </w:r>
          </w:p>
        </w:tc>
        <w:tc>
          <w:tcPr>
            <w:tcW w:type="dxa" w:w="780"/>
            <w:shd w:fill="F9F9F9"/>
            <w:tcMar>
              <w:top w:w="100" w:type="dxa"/>
              <w:bottom w:w="100" w:type="dxa"/>
              <w:left w:w="150" w:type="dxa"/>
              <w:right w:w="150" w:type="dxa"/>
            </w:tcMar>
          </w:tcPr>
          <w:p>
            <w:pPr>
              <w:spacing w:after="0" w:before="0"/>
              <w:jc w:val="center"/>
            </w:pPr>
            <w:r>
              <w:rPr>
                <w:rFonts w:ascii="Arial" w:hAnsi="Arial"/>
                <w:b w:val="0"/>
                <w:i w:val="0"/>
                <w:sz w:val="18"/>
              </w:rPr>
              <w:t>NO</w:t>
            </w:r>
          </w:p>
        </w:tc>
      </w:tr>
    </w:tbl>
    <w:p>
      <w:pPr>
        <w:spacing w:before="240"/>
      </w:pPr>
    </w:p>
    <w:p>
      <w:r>
        <w:rPr>
          <w:rFonts w:ascii="Arial" w:hAnsi="Arial"/>
          <w:b/>
          <w:i w:val="0"/>
          <w:sz w:val="20"/>
        </w:rPr>
        <w:t>Tabla 13:</w:t>
      </w:r>
    </w:p>
    <w:p>
      <w:pPr>
        <w:spacing w:after="120"/>
      </w:pPr>
      <w:r>
        <w:rPr>
          <w:rFonts w:ascii="Arial" w:hAnsi="Arial"/>
          <w:b w:val="0"/>
          <w:i/>
          <w:sz w:val="20"/>
        </w:rPr>
        <w:t>Correlación de Riesgos Relativos Espaciales ADVI vs. NUTS por Subcircuito (N=244)</w:t>
      </w:r>
    </w:p>
    <w:tbl>
      <w:tblPr>
        <w:tblW w:type="auto" w:w="0"/>
        <w:jc w:val="center"/>
        <w:tblLook w:firstColumn="1" w:firstRow="1" w:lastColumn="0" w:lastRow="0" w:noHBand="0" w:noVBand="1" w:val="04A0"/>
        <w:tblBorders>
          <w:top w:val="single" w:sz="6" w:space="0" w:color="000000"/>
          <w:bottom w:val="single" w:sz="6" w:space="0" w:color="000000"/>
          <w:left w:val="none"/>
          <w:right w:val="none"/>
          <w:insideH w:val="single" w:sz="4" w:space="0" w:color="D3D3D3"/>
          <w:insideV w:val="none"/>
        </w:tblBorders>
      </w:tblPr>
      <w:tblGrid>
        <w:gridCol w:w="1560"/>
        <w:gridCol w:w="1560"/>
        <w:gridCol w:w="1560"/>
        <w:gridCol w:w="1560"/>
        <w:gridCol w:w="1560"/>
        <w:gridCol w:w="1560"/>
      </w:tblGrid>
      <w:tr>
        <w:tc>
          <w:tcPr>
            <w:tcW w:type="dxa" w:w="1560"/>
            <w:shd w:fill="333333"/>
            <w:tcMar>
              <w:top w:w="120" w:type="dxa"/>
              <w:bottom w:w="120" w:type="dxa"/>
              <w:left w:w="150" w:type="dxa"/>
              <w:right w:w="150" w:type="dxa"/>
            </w:tcMar>
          </w:tcPr>
          <w:p>
            <w:pPr>
              <w:spacing w:after="0" w:before="0"/>
              <w:jc w:val="center"/>
            </w:pPr>
            <w:r>
              <w:rPr>
                <w:rFonts w:ascii="Arial" w:hAnsi="Arial"/>
                <w:b/>
                <w:i w:val="0"/>
                <w:color w:val="FFFFFF"/>
                <w:sz w:val="19"/>
              </w:rPr>
              <w:t>Modelo</w:t>
            </w:r>
          </w:p>
        </w:tc>
        <w:tc>
          <w:tcPr>
            <w:tcW w:type="dxa" w:w="1560"/>
            <w:shd w:fill="333333"/>
            <w:tcMar>
              <w:top w:w="120" w:type="dxa"/>
              <w:bottom w:w="120" w:type="dxa"/>
              <w:left w:w="150" w:type="dxa"/>
              <w:right w:w="150" w:type="dxa"/>
            </w:tcMar>
          </w:tcPr>
          <w:p>
            <w:pPr>
              <w:spacing w:after="0" w:before="0"/>
              <w:jc w:val="center"/>
            </w:pPr>
            <w:r>
              <w:rPr>
                <w:rFonts w:ascii="Arial" w:hAnsi="Arial"/>
                <w:b/>
                <w:i w:val="0"/>
                <w:color w:val="FFFFFF"/>
                <w:sz w:val="19"/>
              </w:rPr>
              <w:t>Pearson_r</w:t>
            </w:r>
          </w:p>
        </w:tc>
        <w:tc>
          <w:tcPr>
            <w:tcW w:type="dxa" w:w="1560"/>
            <w:shd w:fill="333333"/>
            <w:tcMar>
              <w:top w:w="120" w:type="dxa"/>
              <w:bottom w:w="120" w:type="dxa"/>
              <w:left w:w="150" w:type="dxa"/>
              <w:right w:w="150" w:type="dxa"/>
            </w:tcMar>
          </w:tcPr>
          <w:p>
            <w:pPr>
              <w:spacing w:after="0" w:before="0"/>
              <w:jc w:val="center"/>
            </w:pPr>
            <w:r>
              <w:rPr>
                <w:rFonts w:ascii="Arial" w:hAnsi="Arial"/>
                <w:b/>
                <w:i w:val="0"/>
                <w:color w:val="FFFFFF"/>
                <w:sz w:val="19"/>
              </w:rPr>
              <w:t>Pearson_p_valor</w:t>
            </w:r>
          </w:p>
        </w:tc>
        <w:tc>
          <w:tcPr>
            <w:tcW w:type="dxa" w:w="1560"/>
            <w:shd w:fill="333333"/>
            <w:tcMar>
              <w:top w:w="120" w:type="dxa"/>
              <w:bottom w:w="120" w:type="dxa"/>
              <w:left w:w="150" w:type="dxa"/>
              <w:right w:w="150" w:type="dxa"/>
            </w:tcMar>
          </w:tcPr>
          <w:p>
            <w:pPr>
              <w:spacing w:after="0" w:before="0"/>
              <w:jc w:val="center"/>
            </w:pPr>
            <w:r>
              <w:rPr>
                <w:rFonts w:ascii="Arial" w:hAnsi="Arial"/>
                <w:b/>
                <w:i w:val="0"/>
                <w:color w:val="FFFFFF"/>
                <w:sz w:val="19"/>
              </w:rPr>
              <w:t>Spearman_rho</w:t>
            </w:r>
          </w:p>
        </w:tc>
        <w:tc>
          <w:tcPr>
            <w:tcW w:type="dxa" w:w="1560"/>
            <w:shd w:fill="333333"/>
            <w:tcMar>
              <w:top w:w="120" w:type="dxa"/>
              <w:bottom w:w="120" w:type="dxa"/>
              <w:left w:w="150" w:type="dxa"/>
              <w:right w:w="150" w:type="dxa"/>
            </w:tcMar>
          </w:tcPr>
          <w:p>
            <w:pPr>
              <w:spacing w:after="0" w:before="0"/>
              <w:jc w:val="center"/>
            </w:pPr>
            <w:r>
              <w:rPr>
                <w:rFonts w:ascii="Arial" w:hAnsi="Arial"/>
                <w:b/>
                <w:i w:val="0"/>
                <w:color w:val="FFFFFF"/>
                <w:sz w:val="19"/>
              </w:rPr>
              <w:t>Spearman_p_valor</w:t>
            </w:r>
          </w:p>
        </w:tc>
        <w:tc>
          <w:tcPr>
            <w:tcW w:type="dxa" w:w="1560"/>
            <w:shd w:fill="333333"/>
            <w:tcMar>
              <w:top w:w="120" w:type="dxa"/>
              <w:bottom w:w="120" w:type="dxa"/>
              <w:left w:w="150" w:type="dxa"/>
              <w:right w:w="150" w:type="dxa"/>
            </w:tcMar>
          </w:tcPr>
          <w:p>
            <w:pPr>
              <w:spacing w:after="0" w:before="0"/>
              <w:jc w:val="center"/>
            </w:pPr>
            <w:r>
              <w:rPr>
                <w:rFonts w:ascii="Arial" w:hAnsi="Arial"/>
                <w:b/>
                <w:i w:val="0"/>
                <w:color w:val="FFFFFF"/>
                <w:sz w:val="19"/>
              </w:rPr>
              <w:t>N_Subcircuitos</w:t>
            </w:r>
          </w:p>
        </w:tc>
      </w:tr>
      <w:tr>
        <w:tc>
          <w:tcPr>
            <w:tcW w:type="dxa" w:w="1560"/>
            <w:shd w:fill="FFFFFF"/>
            <w:tcMar>
              <w:top w:w="100" w:type="dxa"/>
              <w:bottom w:w="100" w:type="dxa"/>
              <w:left w:w="150" w:type="dxa"/>
              <w:right w:w="150" w:type="dxa"/>
            </w:tcMar>
          </w:tcPr>
          <w:p>
            <w:pPr>
              <w:spacing w:after="0" w:before="0"/>
              <w:jc w:val="center"/>
            </w:pPr>
            <w:r>
              <w:rPr>
                <w:rFonts w:ascii="Arial" w:hAnsi="Arial"/>
                <w:b w:val="0"/>
                <w:i w:val="0"/>
                <w:sz w:val="18"/>
              </w:rPr>
              <w:t>Modelo (c) Besag ICAR + No Estructurado (Mejor LOO)</w:t>
            </w:r>
          </w:p>
        </w:tc>
        <w:tc>
          <w:tcPr>
            <w:tcW w:type="dxa" w:w="1560"/>
            <w:shd w:fill="FFFFFF"/>
            <w:tcMar>
              <w:top w:w="100" w:type="dxa"/>
              <w:bottom w:w="100" w:type="dxa"/>
              <w:left w:w="150" w:type="dxa"/>
              <w:right w:w="150" w:type="dxa"/>
            </w:tcMar>
          </w:tcPr>
          <w:p>
            <w:pPr>
              <w:spacing w:after="0" w:before="0"/>
              <w:jc w:val="center"/>
            </w:pPr>
            <w:r>
              <w:rPr>
                <w:rFonts w:ascii="Arial" w:hAnsi="Arial"/>
                <w:b w:val="0"/>
                <w:i w:val="0"/>
                <w:sz w:val="18"/>
              </w:rPr>
              <w:t>0.9952</w:t>
            </w:r>
          </w:p>
        </w:tc>
        <w:tc>
          <w:tcPr>
            <w:tcW w:type="dxa" w:w="1560"/>
            <w:shd w:fill="FFFFFF"/>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1560"/>
            <w:shd w:fill="FFFFFF"/>
            <w:tcMar>
              <w:top w:w="100" w:type="dxa"/>
              <w:bottom w:w="100" w:type="dxa"/>
              <w:left w:w="150" w:type="dxa"/>
              <w:right w:w="150" w:type="dxa"/>
            </w:tcMar>
          </w:tcPr>
          <w:p>
            <w:pPr>
              <w:spacing w:after="0" w:before="0"/>
              <w:jc w:val="center"/>
            </w:pPr>
            <w:r>
              <w:rPr>
                <w:rFonts w:ascii="Arial" w:hAnsi="Arial"/>
                <w:b w:val="0"/>
                <w:i w:val="0"/>
                <w:sz w:val="18"/>
              </w:rPr>
              <w:t>0.9960</w:t>
            </w:r>
          </w:p>
        </w:tc>
        <w:tc>
          <w:tcPr>
            <w:tcW w:type="dxa" w:w="1560"/>
            <w:shd w:fill="FFFFFF"/>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1560"/>
            <w:shd w:fill="FFFFFF"/>
            <w:tcMar>
              <w:top w:w="100" w:type="dxa"/>
              <w:bottom w:w="100" w:type="dxa"/>
              <w:left w:w="150" w:type="dxa"/>
              <w:right w:w="150" w:type="dxa"/>
            </w:tcMar>
          </w:tcPr>
          <w:p>
            <w:pPr>
              <w:spacing w:after="0" w:before="0"/>
              <w:jc w:val="center"/>
            </w:pPr>
            <w:r>
              <w:rPr>
                <w:rFonts w:ascii="Arial" w:hAnsi="Arial"/>
                <w:b w:val="0"/>
                <w:i w:val="0"/>
                <w:sz w:val="18"/>
              </w:rPr>
              <w:t>244</w:t>
            </w:r>
          </w:p>
        </w:tc>
      </w:tr>
      <w:tr>
        <w:tc>
          <w:tcPr>
            <w:tcW w:type="dxa" w:w="1560"/>
            <w:shd w:fill="F9F9F9"/>
            <w:tcMar>
              <w:top w:w="100" w:type="dxa"/>
              <w:bottom w:w="100" w:type="dxa"/>
              <w:left w:w="150" w:type="dxa"/>
              <w:right w:w="150" w:type="dxa"/>
            </w:tcMar>
          </w:tcPr>
          <w:p>
            <w:pPr>
              <w:spacing w:after="0" w:before="0"/>
              <w:jc w:val="center"/>
            </w:pPr>
            <w:r>
              <w:rPr>
                <w:rFonts w:ascii="Arial" w:hAnsi="Arial"/>
                <w:b w:val="0"/>
                <w:i w:val="0"/>
                <w:sz w:val="18"/>
              </w:rPr>
              <w:t>Modelo (d) BYM2 (Prior Beta(0.5, 0.5))</w:t>
            </w:r>
          </w:p>
        </w:tc>
        <w:tc>
          <w:tcPr>
            <w:tcW w:type="dxa" w:w="1560"/>
            <w:shd w:fill="F9F9F9"/>
            <w:tcMar>
              <w:top w:w="100" w:type="dxa"/>
              <w:bottom w:w="100" w:type="dxa"/>
              <w:left w:w="150" w:type="dxa"/>
              <w:right w:w="150" w:type="dxa"/>
            </w:tcMar>
          </w:tcPr>
          <w:p>
            <w:pPr>
              <w:spacing w:after="0" w:before="0"/>
              <w:jc w:val="center"/>
            </w:pPr>
            <w:r>
              <w:rPr>
                <w:rFonts w:ascii="Arial" w:hAnsi="Arial"/>
                <w:b w:val="0"/>
                <w:i w:val="0"/>
                <w:sz w:val="18"/>
              </w:rPr>
              <w:t>0.9949</w:t>
            </w:r>
          </w:p>
        </w:tc>
        <w:tc>
          <w:tcPr>
            <w:tcW w:type="dxa" w:w="1560"/>
            <w:shd w:fill="F9F9F9"/>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1560"/>
            <w:shd w:fill="F9F9F9"/>
            <w:tcMar>
              <w:top w:w="100" w:type="dxa"/>
              <w:bottom w:w="100" w:type="dxa"/>
              <w:left w:w="150" w:type="dxa"/>
              <w:right w:w="150" w:type="dxa"/>
            </w:tcMar>
          </w:tcPr>
          <w:p>
            <w:pPr>
              <w:spacing w:after="0" w:before="0"/>
              <w:jc w:val="center"/>
            </w:pPr>
            <w:r>
              <w:rPr>
                <w:rFonts w:ascii="Arial" w:hAnsi="Arial"/>
                <w:b w:val="0"/>
                <w:i w:val="0"/>
                <w:sz w:val="18"/>
              </w:rPr>
              <w:t>0.9959</w:t>
            </w:r>
          </w:p>
        </w:tc>
        <w:tc>
          <w:tcPr>
            <w:tcW w:type="dxa" w:w="1560"/>
            <w:shd w:fill="F9F9F9"/>
            <w:tcMar>
              <w:top w:w="100" w:type="dxa"/>
              <w:bottom w:w="100" w:type="dxa"/>
              <w:left w:w="150" w:type="dxa"/>
              <w:right w:w="150" w:type="dxa"/>
            </w:tcMar>
          </w:tcPr>
          <w:p>
            <w:pPr>
              <w:spacing w:after="0" w:before="0"/>
              <w:jc w:val="center"/>
            </w:pPr>
            <w:r>
              <w:rPr>
                <w:rFonts w:ascii="Arial" w:hAnsi="Arial"/>
                <w:b w:val="0"/>
                <w:i w:val="0"/>
                <w:sz w:val="18"/>
              </w:rPr>
              <w:t>0.0000</w:t>
            </w:r>
          </w:p>
        </w:tc>
        <w:tc>
          <w:tcPr>
            <w:tcW w:type="dxa" w:w="1560"/>
            <w:shd w:fill="F9F9F9"/>
            <w:tcMar>
              <w:top w:w="100" w:type="dxa"/>
              <w:bottom w:w="100" w:type="dxa"/>
              <w:left w:w="150" w:type="dxa"/>
              <w:right w:w="150" w:type="dxa"/>
            </w:tcMar>
          </w:tcPr>
          <w:p>
            <w:pPr>
              <w:spacing w:after="0" w:before="0"/>
              <w:jc w:val="center"/>
            </w:pPr>
            <w:r>
              <w:rPr>
                <w:rFonts w:ascii="Arial" w:hAnsi="Arial"/>
                <w:b w:val="0"/>
                <w:i w:val="0"/>
                <w:sz w:val="18"/>
              </w:rPr>
              <w:t>244</w:t>
            </w:r>
          </w:p>
        </w:tc>
      </w:tr>
    </w:tbl>
    <w:p>
      <w:pPr>
        <w:spacing w:before="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