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CD7" w:rsidRDefault="00062CD7" w:rsidP="004B638B">
      <w:pPr>
        <w:jc w:val="center"/>
        <w:rPr>
          <w:b/>
          <w:sz w:val="24"/>
          <w:szCs w:val="24"/>
        </w:rPr>
      </w:pPr>
    </w:p>
    <w:p w:rsidR="00062CD7" w:rsidRDefault="00062CD7" w:rsidP="004B638B">
      <w:pPr>
        <w:jc w:val="center"/>
        <w:rPr>
          <w:b/>
          <w:sz w:val="24"/>
          <w:szCs w:val="24"/>
        </w:rPr>
      </w:pPr>
    </w:p>
    <w:p w:rsidR="00494504" w:rsidRDefault="00494504" w:rsidP="004B638B">
      <w:pPr>
        <w:jc w:val="center"/>
        <w:rPr>
          <w:b/>
          <w:sz w:val="24"/>
          <w:szCs w:val="24"/>
        </w:rPr>
      </w:pPr>
    </w:p>
    <w:p w:rsidR="00494504" w:rsidRDefault="00494504" w:rsidP="004B638B">
      <w:pPr>
        <w:jc w:val="center"/>
        <w:rPr>
          <w:b/>
          <w:sz w:val="24"/>
          <w:szCs w:val="24"/>
        </w:rPr>
      </w:pPr>
    </w:p>
    <w:p w:rsidR="00062CD7" w:rsidRDefault="00062CD7" w:rsidP="004B638B">
      <w:pPr>
        <w:jc w:val="center"/>
        <w:rPr>
          <w:b/>
          <w:sz w:val="24"/>
          <w:szCs w:val="24"/>
        </w:rPr>
      </w:pPr>
    </w:p>
    <w:p w:rsidR="00062CD7" w:rsidRDefault="00062CD7" w:rsidP="004B638B">
      <w:pPr>
        <w:jc w:val="center"/>
        <w:rPr>
          <w:b/>
          <w:sz w:val="48"/>
          <w:szCs w:val="48"/>
        </w:rPr>
      </w:pPr>
      <w:r w:rsidRPr="00062CD7">
        <w:rPr>
          <w:b/>
          <w:sz w:val="48"/>
          <w:szCs w:val="48"/>
        </w:rPr>
        <w:t>Equipo de Activación y Desactivación en Plataformas</w:t>
      </w:r>
    </w:p>
    <w:p w:rsidR="00980FA2" w:rsidRPr="00062CD7" w:rsidRDefault="00980FA2" w:rsidP="004B638B">
      <w:pPr>
        <w:jc w:val="center"/>
        <w:rPr>
          <w:b/>
          <w:sz w:val="48"/>
          <w:szCs w:val="48"/>
        </w:rPr>
      </w:pPr>
    </w:p>
    <w:p w:rsidR="00062CD7" w:rsidRPr="00980FA2" w:rsidRDefault="00980FA2" w:rsidP="004B638B">
      <w:pPr>
        <w:jc w:val="center"/>
        <w:rPr>
          <w:b/>
          <w:sz w:val="48"/>
          <w:szCs w:val="48"/>
        </w:rPr>
      </w:pPr>
      <w:r w:rsidRPr="00980FA2">
        <w:rPr>
          <w:b/>
          <w:sz w:val="48"/>
          <w:szCs w:val="48"/>
        </w:rPr>
        <w:t>Trimestre 1 de 2016</w:t>
      </w:r>
    </w:p>
    <w:p w:rsidR="00906E84" w:rsidRDefault="00906E84" w:rsidP="004B638B">
      <w:pPr>
        <w:jc w:val="center"/>
        <w:rPr>
          <w:b/>
          <w:sz w:val="24"/>
          <w:szCs w:val="24"/>
        </w:rPr>
      </w:pPr>
    </w:p>
    <w:p w:rsidR="00906E84" w:rsidRDefault="00906E84" w:rsidP="004B638B">
      <w:pPr>
        <w:jc w:val="center"/>
        <w:rPr>
          <w:b/>
          <w:sz w:val="24"/>
          <w:szCs w:val="24"/>
        </w:rPr>
      </w:pPr>
    </w:p>
    <w:p w:rsidR="00906E84" w:rsidRDefault="00906E84" w:rsidP="004B638B">
      <w:pPr>
        <w:jc w:val="center"/>
        <w:rPr>
          <w:b/>
          <w:sz w:val="24"/>
          <w:szCs w:val="24"/>
        </w:rPr>
      </w:pPr>
    </w:p>
    <w:p w:rsidR="00062CD7" w:rsidRDefault="00906E84" w:rsidP="004B638B">
      <w:pPr>
        <w:jc w:val="center"/>
        <w:rPr>
          <w:b/>
          <w:sz w:val="44"/>
          <w:szCs w:val="44"/>
        </w:rPr>
      </w:pPr>
      <w:r w:rsidRPr="00906E84">
        <w:rPr>
          <w:b/>
          <w:sz w:val="44"/>
          <w:szCs w:val="44"/>
        </w:rPr>
        <w:t>Gerencia de Alistamiento de Operaciones</w:t>
      </w:r>
    </w:p>
    <w:p w:rsidR="00906E84" w:rsidRDefault="00906E84" w:rsidP="004B638B">
      <w:pPr>
        <w:jc w:val="center"/>
        <w:rPr>
          <w:b/>
          <w:sz w:val="44"/>
          <w:szCs w:val="44"/>
        </w:rPr>
      </w:pPr>
    </w:p>
    <w:p w:rsidR="00906E84" w:rsidRDefault="00906E84" w:rsidP="004B638B">
      <w:pPr>
        <w:jc w:val="center"/>
        <w:rPr>
          <w:b/>
          <w:sz w:val="44"/>
          <w:szCs w:val="44"/>
        </w:rPr>
      </w:pPr>
    </w:p>
    <w:p w:rsidR="00906E84" w:rsidRDefault="00906E84" w:rsidP="004B638B">
      <w:pPr>
        <w:jc w:val="center"/>
        <w:rPr>
          <w:b/>
          <w:sz w:val="44"/>
          <w:szCs w:val="44"/>
        </w:rPr>
      </w:pPr>
      <w:r w:rsidRPr="00906E84">
        <w:rPr>
          <w:b/>
          <w:sz w:val="44"/>
          <w:szCs w:val="44"/>
        </w:rPr>
        <w:t>VP DE NEGOCIO HOGARES</w:t>
      </w:r>
    </w:p>
    <w:p w:rsidR="00906E84" w:rsidRDefault="00906E84" w:rsidP="004B638B">
      <w:pPr>
        <w:jc w:val="center"/>
        <w:rPr>
          <w:b/>
          <w:sz w:val="44"/>
          <w:szCs w:val="44"/>
        </w:rPr>
      </w:pPr>
    </w:p>
    <w:p w:rsidR="007B2088" w:rsidRDefault="007B208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62CD7" w:rsidRDefault="00062CD7" w:rsidP="004B638B">
      <w:pPr>
        <w:jc w:val="center"/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O"/>
        </w:rPr>
        <w:id w:val="11185163"/>
        <w:docPartObj>
          <w:docPartGallery w:val="Table of Contents"/>
          <w:docPartUnique/>
        </w:docPartObj>
      </w:sdtPr>
      <w:sdtContent>
        <w:p w:rsidR="00062CD7" w:rsidRDefault="00062CD7">
          <w:pPr>
            <w:pStyle w:val="TtulodeTDC"/>
          </w:pPr>
          <w:r>
            <w:t>Contenido</w:t>
          </w:r>
        </w:p>
        <w:p w:rsidR="00F61ED5" w:rsidRDefault="007C1C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lang w:val="es-ES"/>
            </w:rPr>
            <w:fldChar w:fldCharType="begin"/>
          </w:r>
          <w:r w:rsidR="00062CD7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54460392" w:history="1">
            <w:r w:rsidR="00F61ED5" w:rsidRPr="004468FC">
              <w:rPr>
                <w:rStyle w:val="Hipervnculo"/>
                <w:noProof/>
              </w:rPr>
              <w:t>Quiénes somos</w:t>
            </w:r>
            <w:r w:rsidR="00F61ED5">
              <w:rPr>
                <w:noProof/>
                <w:webHidden/>
              </w:rPr>
              <w:tab/>
            </w:r>
            <w:r w:rsidR="00F61ED5">
              <w:rPr>
                <w:noProof/>
                <w:webHidden/>
              </w:rPr>
              <w:fldChar w:fldCharType="begin"/>
            </w:r>
            <w:r w:rsidR="00F61ED5">
              <w:rPr>
                <w:noProof/>
                <w:webHidden/>
              </w:rPr>
              <w:instrText xml:space="preserve"> PAGEREF _Toc454460392 \h </w:instrText>
            </w:r>
            <w:r w:rsidR="00F61ED5">
              <w:rPr>
                <w:noProof/>
                <w:webHidden/>
              </w:rPr>
            </w:r>
            <w:r w:rsidR="00F61ED5">
              <w:rPr>
                <w:noProof/>
                <w:webHidden/>
              </w:rPr>
              <w:fldChar w:fldCharType="separate"/>
            </w:r>
            <w:r w:rsidR="00F61ED5">
              <w:rPr>
                <w:noProof/>
                <w:webHidden/>
              </w:rPr>
              <w:t>3</w:t>
            </w:r>
            <w:r w:rsidR="00F61ED5"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393" w:history="1">
            <w:r w:rsidRPr="004468FC">
              <w:rPr>
                <w:rStyle w:val="Hipervnculo"/>
                <w:noProof/>
              </w:rPr>
              <w:t>Dependencia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394" w:history="1">
            <w:r w:rsidRPr="004468FC">
              <w:rPr>
                <w:rStyle w:val="Hipervnculo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395" w:history="1">
            <w:r w:rsidRPr="004468FC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396" w:history="1">
            <w:r w:rsidRPr="004468FC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397" w:history="1">
            <w:r w:rsidRPr="004468FC">
              <w:rPr>
                <w:rStyle w:val="Hipervnculo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398" w:history="1">
            <w:r w:rsidRPr="004468FC">
              <w:rPr>
                <w:rStyle w:val="Hipervnculo"/>
                <w:noProof/>
              </w:rPr>
              <w:t>Objetivos secundarios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399" w:history="1">
            <w:r w:rsidRPr="004468FC">
              <w:rPr>
                <w:rStyle w:val="Hipervnculo"/>
                <w:noProof/>
              </w:rPr>
              <w:t>Actividades en Fénix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400" w:history="1">
            <w:r w:rsidRPr="004468FC">
              <w:rPr>
                <w:rStyle w:val="Hipervnculo"/>
                <w:noProof/>
              </w:rPr>
              <w:t>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401" w:history="1">
            <w:r w:rsidRPr="004468FC">
              <w:rPr>
                <w:rStyle w:val="Hipervnculo"/>
                <w:noProof/>
              </w:rPr>
              <w:t>Personal vinculado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402" w:history="1">
            <w:r w:rsidRPr="004468FC">
              <w:rPr>
                <w:rStyle w:val="Hipervnculo"/>
                <w:noProof/>
              </w:rPr>
              <w:t>Personal contratado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403" w:history="1">
            <w:r w:rsidRPr="004468FC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404" w:history="1">
            <w:r w:rsidRPr="004468FC">
              <w:rPr>
                <w:rStyle w:val="Hipervnculo"/>
                <w:noProof/>
              </w:rPr>
              <w:t>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405" w:history="1">
            <w:r w:rsidRPr="004468FC">
              <w:rPr>
                <w:rStyle w:val="Hipervnculo"/>
                <w:noProof/>
              </w:rPr>
              <w:t>TMD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406" w:history="1">
            <w:r w:rsidRPr="004468FC">
              <w:rPr>
                <w:rStyle w:val="Hipervnculo"/>
                <w:noProof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407" w:history="1">
            <w:r w:rsidRPr="004468FC">
              <w:rPr>
                <w:rStyle w:val="Hipervnculo"/>
                <w:noProof/>
              </w:rPr>
              <w:t>Página de monitoreo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408" w:history="1">
            <w:r w:rsidRPr="004468FC">
              <w:rPr>
                <w:rStyle w:val="Hipervnculo"/>
                <w:noProof/>
              </w:rPr>
              <w:t>Correo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409" w:history="1">
            <w:r w:rsidRPr="004468FC">
              <w:rPr>
                <w:rStyle w:val="Hipervnculo"/>
                <w:noProof/>
              </w:rPr>
              <w:t>Informe de Amarillos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410" w:history="1">
            <w:r w:rsidRPr="004468FC">
              <w:rPr>
                <w:rStyle w:val="Hipervnculo"/>
                <w:noProof/>
              </w:rPr>
              <w:t>Actividades de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ED5" w:rsidRDefault="00F61E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4460411" w:history="1">
            <w:r w:rsidRPr="004468FC">
              <w:rPr>
                <w:rStyle w:val="Hipervnculo"/>
                <w:noProof/>
              </w:rPr>
              <w:t>Acciones 1° Semestre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_Toc454460411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D7" w:rsidRDefault="007C1CB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62CD7" w:rsidRDefault="00062CD7" w:rsidP="004B638B">
      <w:pPr>
        <w:jc w:val="center"/>
        <w:rPr>
          <w:b/>
          <w:sz w:val="24"/>
          <w:szCs w:val="24"/>
        </w:rPr>
      </w:pPr>
    </w:p>
    <w:p w:rsidR="00062CD7" w:rsidRDefault="00062CD7" w:rsidP="004B638B">
      <w:pPr>
        <w:jc w:val="center"/>
        <w:rPr>
          <w:b/>
          <w:sz w:val="24"/>
          <w:szCs w:val="24"/>
        </w:rPr>
      </w:pPr>
    </w:p>
    <w:p w:rsidR="00062CD7" w:rsidRDefault="00062CD7" w:rsidP="004B638B">
      <w:pPr>
        <w:jc w:val="center"/>
        <w:rPr>
          <w:b/>
          <w:sz w:val="24"/>
          <w:szCs w:val="24"/>
        </w:rPr>
      </w:pPr>
    </w:p>
    <w:p w:rsidR="00062CD7" w:rsidRDefault="00062CD7" w:rsidP="004B638B">
      <w:pPr>
        <w:jc w:val="center"/>
        <w:rPr>
          <w:b/>
          <w:sz w:val="24"/>
          <w:szCs w:val="24"/>
        </w:rPr>
      </w:pPr>
    </w:p>
    <w:p w:rsidR="007B2088" w:rsidRDefault="007B208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23B4A" w:rsidRPr="004B638B" w:rsidRDefault="00C53331" w:rsidP="004B638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7A6CAD">
        <w:rPr>
          <w:b/>
          <w:sz w:val="24"/>
          <w:szCs w:val="24"/>
        </w:rPr>
        <w:t>ROCESO DE</w:t>
      </w:r>
      <w:r>
        <w:rPr>
          <w:b/>
          <w:sz w:val="24"/>
          <w:szCs w:val="24"/>
        </w:rPr>
        <w:t xml:space="preserve"> D</w:t>
      </w:r>
      <w:r w:rsidR="007A6CAD">
        <w:rPr>
          <w:b/>
          <w:sz w:val="24"/>
          <w:szCs w:val="24"/>
        </w:rPr>
        <w:t>ESAPROVICIONAMIENTO EN PLATAFORMAS</w:t>
      </w:r>
    </w:p>
    <w:p w:rsidR="004B638B" w:rsidRPr="004B638B" w:rsidRDefault="004B638B" w:rsidP="004B638B">
      <w:pPr>
        <w:jc w:val="center"/>
        <w:rPr>
          <w:b/>
          <w:sz w:val="24"/>
          <w:szCs w:val="24"/>
        </w:rPr>
      </w:pPr>
    </w:p>
    <w:p w:rsidR="004B638B" w:rsidRDefault="00146B8B" w:rsidP="004B638B">
      <w:pPr>
        <w:jc w:val="both"/>
        <w:rPr>
          <w:sz w:val="24"/>
          <w:szCs w:val="24"/>
        </w:rPr>
      </w:pPr>
      <w:r>
        <w:rPr>
          <w:sz w:val="24"/>
          <w:szCs w:val="24"/>
        </w:rPr>
        <w:t>El proceso de desaprovisionamiento en plataforma implica todas las actividades lógicas encaminadas en retirar, suspender y reconectar los servicios de los clientes de la compañía.</w:t>
      </w:r>
      <w:r w:rsidR="00BF2FED">
        <w:rPr>
          <w:sz w:val="24"/>
          <w:szCs w:val="24"/>
        </w:rPr>
        <w:t xml:space="preserve"> Sin embargo, aunque las actividades</w:t>
      </w:r>
      <w:r w:rsidR="00382086">
        <w:rPr>
          <w:sz w:val="24"/>
          <w:szCs w:val="24"/>
        </w:rPr>
        <w:t xml:space="preserve"> en su mayoría</w:t>
      </w:r>
      <w:r w:rsidR="00BF2FED">
        <w:rPr>
          <w:sz w:val="24"/>
          <w:szCs w:val="24"/>
        </w:rPr>
        <w:t xml:space="preserve"> son de tipo automática se presentan errores que producen fallos en el flujo normal de las transacciones, es en este punto en el que el Equipo de Activación y Desactivación en Plataformas </w:t>
      </w:r>
      <w:r w:rsidR="00D8725B">
        <w:rPr>
          <w:sz w:val="24"/>
          <w:szCs w:val="24"/>
        </w:rPr>
        <w:t>interviene</w:t>
      </w:r>
      <w:r w:rsidR="00BF2FED">
        <w:rPr>
          <w:sz w:val="24"/>
          <w:szCs w:val="24"/>
        </w:rPr>
        <w:t xml:space="preserve"> para corregir el error al que se denomina excepción y será el término que en este documento seguiremos </w:t>
      </w:r>
      <w:r w:rsidR="00382086">
        <w:rPr>
          <w:sz w:val="24"/>
          <w:szCs w:val="24"/>
        </w:rPr>
        <w:t>utilizando</w:t>
      </w:r>
      <w:r w:rsidR="00BF2FED">
        <w:rPr>
          <w:sz w:val="24"/>
          <w:szCs w:val="24"/>
        </w:rPr>
        <w:t xml:space="preserve"> dado que es el core de nuestra gestión.</w:t>
      </w:r>
    </w:p>
    <w:p w:rsidR="005860B5" w:rsidRDefault="00BF2FED" w:rsidP="004B638B">
      <w:pPr>
        <w:jc w:val="both"/>
        <w:rPr>
          <w:sz w:val="24"/>
          <w:szCs w:val="24"/>
        </w:rPr>
      </w:pPr>
      <w:r>
        <w:rPr>
          <w:sz w:val="24"/>
          <w:szCs w:val="24"/>
        </w:rPr>
        <w:t>Para un entendimiento completo del proceso y del equipo, se abordará en pr</w:t>
      </w:r>
      <w:r w:rsidR="00382086">
        <w:rPr>
          <w:sz w:val="24"/>
          <w:szCs w:val="24"/>
        </w:rPr>
        <w:t>imera instancia temas generales, y p</w:t>
      </w:r>
      <w:r w:rsidR="00803811">
        <w:rPr>
          <w:sz w:val="24"/>
          <w:szCs w:val="24"/>
        </w:rPr>
        <w:t>osteriormente las actividades implicadas en el desarrollo de las tareas habituales del equipo.</w:t>
      </w:r>
    </w:p>
    <w:p w:rsidR="00BB37EB" w:rsidRDefault="00BB37EB" w:rsidP="007B2A2A">
      <w:pPr>
        <w:pStyle w:val="Ttulo1"/>
      </w:pPr>
      <w:bookmarkStart w:id="0" w:name="_Toc454460392"/>
      <w:r w:rsidRPr="00BB37EB">
        <w:t>Quiénes somos</w:t>
      </w:r>
      <w:bookmarkEnd w:id="0"/>
    </w:p>
    <w:p w:rsidR="00BB37EB" w:rsidRDefault="00BB37EB" w:rsidP="004B638B">
      <w:pPr>
        <w:jc w:val="both"/>
        <w:rPr>
          <w:sz w:val="24"/>
          <w:szCs w:val="24"/>
        </w:rPr>
      </w:pPr>
      <w:r w:rsidRPr="00BB37EB">
        <w:rPr>
          <w:sz w:val="24"/>
          <w:szCs w:val="24"/>
        </w:rPr>
        <w:t xml:space="preserve">Somos un equipo con la </w:t>
      </w:r>
      <w:r>
        <w:rPr>
          <w:sz w:val="24"/>
          <w:szCs w:val="24"/>
        </w:rPr>
        <w:t xml:space="preserve">responsabilidad </w:t>
      </w:r>
      <w:r w:rsidRPr="00BB37EB">
        <w:rPr>
          <w:sz w:val="24"/>
          <w:szCs w:val="24"/>
        </w:rPr>
        <w:t>de identificar, gestionar y solucionar los errores (excepciones) que se originan entre el OSS (Sistemas de Soporte a la Operación) hacia la plataforma y que afectan la entrega de los servicios y/o ejecución de los procesos.</w:t>
      </w:r>
    </w:p>
    <w:p w:rsidR="005860B5" w:rsidRPr="005860B5" w:rsidRDefault="005860B5" w:rsidP="005860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equipo </w:t>
      </w:r>
      <w:r w:rsidR="00FC4695">
        <w:rPr>
          <w:sz w:val="24"/>
          <w:szCs w:val="24"/>
        </w:rPr>
        <w:t>fue</w:t>
      </w:r>
      <w:r>
        <w:rPr>
          <w:sz w:val="24"/>
          <w:szCs w:val="24"/>
        </w:rPr>
        <w:t xml:space="preserve"> constitu</w:t>
      </w:r>
      <w:r w:rsidR="00FC4695">
        <w:rPr>
          <w:sz w:val="24"/>
          <w:szCs w:val="24"/>
        </w:rPr>
        <w:t>ido</w:t>
      </w:r>
      <w:r>
        <w:rPr>
          <w:sz w:val="24"/>
          <w:szCs w:val="24"/>
        </w:rPr>
        <w:t xml:space="preserve"> a f</w:t>
      </w:r>
      <w:r w:rsidRPr="005860B5">
        <w:rPr>
          <w:sz w:val="24"/>
          <w:szCs w:val="24"/>
        </w:rPr>
        <w:t>inales de 2011</w:t>
      </w:r>
      <w:r>
        <w:rPr>
          <w:sz w:val="24"/>
          <w:szCs w:val="24"/>
        </w:rPr>
        <w:t>, se evidenció una gran c</w:t>
      </w:r>
      <w:r w:rsidRPr="005860B5">
        <w:rPr>
          <w:sz w:val="24"/>
          <w:szCs w:val="24"/>
        </w:rPr>
        <w:t>ongestión de errores en el flujo normal de las actividades en plataformas, debido al auge de</w:t>
      </w:r>
      <w:r>
        <w:rPr>
          <w:sz w:val="24"/>
          <w:szCs w:val="24"/>
        </w:rPr>
        <w:t xml:space="preserve"> la automatización de procesos, para los cuales n</w:t>
      </w:r>
      <w:r w:rsidRPr="005860B5">
        <w:rPr>
          <w:sz w:val="24"/>
          <w:szCs w:val="24"/>
        </w:rPr>
        <w:t>o se tenía asignación de responsables</w:t>
      </w:r>
      <w:r>
        <w:rPr>
          <w:sz w:val="24"/>
          <w:szCs w:val="24"/>
        </w:rPr>
        <w:t xml:space="preserve"> de la gestión de dichos errores</w:t>
      </w:r>
      <w:r w:rsidRPr="005860B5">
        <w:rPr>
          <w:sz w:val="24"/>
          <w:szCs w:val="24"/>
        </w:rPr>
        <w:t>.</w:t>
      </w:r>
      <w:r>
        <w:rPr>
          <w:sz w:val="24"/>
          <w:szCs w:val="24"/>
        </w:rPr>
        <w:t xml:space="preserve"> Por tanto, en febrero de 2012 se crea </w:t>
      </w:r>
      <w:r w:rsidRPr="005860B5">
        <w:rPr>
          <w:sz w:val="24"/>
          <w:szCs w:val="24"/>
        </w:rPr>
        <w:t>el equipo con foco en la etapa CONFI.</w:t>
      </w:r>
    </w:p>
    <w:p w:rsidR="005860B5" w:rsidRDefault="005860B5" w:rsidP="005860B5">
      <w:pPr>
        <w:jc w:val="both"/>
        <w:rPr>
          <w:sz w:val="24"/>
          <w:szCs w:val="24"/>
        </w:rPr>
      </w:pPr>
      <w:r w:rsidRPr="005860B5">
        <w:rPr>
          <w:sz w:val="24"/>
          <w:szCs w:val="24"/>
        </w:rPr>
        <w:t xml:space="preserve">La tasa de errores con las que se amanecía </w:t>
      </w:r>
      <w:r w:rsidR="001F4165">
        <w:rPr>
          <w:sz w:val="24"/>
          <w:szCs w:val="24"/>
        </w:rPr>
        <w:t>por día en esa época era del orden de 32.000</w:t>
      </w:r>
      <w:r>
        <w:rPr>
          <w:sz w:val="24"/>
          <w:szCs w:val="24"/>
        </w:rPr>
        <w:t xml:space="preserve"> </w:t>
      </w:r>
    </w:p>
    <w:p w:rsidR="000F5970" w:rsidRDefault="000F5970" w:rsidP="007B2A2A">
      <w:pPr>
        <w:pStyle w:val="Ttulo1"/>
      </w:pPr>
      <w:bookmarkStart w:id="1" w:name="_Toc454460393"/>
      <w:r w:rsidRPr="000F5970">
        <w:t>Dependencia</w:t>
      </w:r>
      <w:bookmarkEnd w:id="1"/>
    </w:p>
    <w:p w:rsidR="000F5970" w:rsidRDefault="000F5970" w:rsidP="005860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actualidad el Equipo de Activación y Desactivación en Plataformas está suscrito </w:t>
      </w:r>
      <w:r w:rsidR="00FE4965">
        <w:rPr>
          <w:sz w:val="24"/>
          <w:szCs w:val="24"/>
        </w:rPr>
        <w:t>a</w:t>
      </w:r>
      <w:r>
        <w:rPr>
          <w:sz w:val="24"/>
          <w:szCs w:val="24"/>
        </w:rPr>
        <w:t xml:space="preserve"> la Gerencia de Alistamiento de Operaciones</w:t>
      </w:r>
      <w:r w:rsidR="00131ED4">
        <w:rPr>
          <w:sz w:val="24"/>
          <w:szCs w:val="24"/>
        </w:rPr>
        <w:t xml:space="preserve"> que a su vez está bajo la tutela de la Vicepresidencia de Negocio Hogares.</w:t>
      </w:r>
    </w:p>
    <w:p w:rsidR="000360C2" w:rsidRDefault="000360C2" w:rsidP="007B2A2A">
      <w:pPr>
        <w:pStyle w:val="Ttulo1"/>
      </w:pPr>
      <w:bookmarkStart w:id="2" w:name="_Toc454460394"/>
      <w:r w:rsidRPr="000360C2">
        <w:t>Misión</w:t>
      </w:r>
      <w:bookmarkEnd w:id="2"/>
    </w:p>
    <w:p w:rsidR="000360C2" w:rsidRDefault="000360C2" w:rsidP="004B638B">
      <w:pPr>
        <w:jc w:val="both"/>
        <w:rPr>
          <w:sz w:val="24"/>
          <w:szCs w:val="24"/>
        </w:rPr>
      </w:pPr>
      <w:r w:rsidRPr="000360C2">
        <w:rPr>
          <w:sz w:val="24"/>
          <w:szCs w:val="24"/>
        </w:rPr>
        <w:t>Realizar las gestiones correspondientes para la atención de activaciones y de</w:t>
      </w:r>
      <w:r>
        <w:rPr>
          <w:sz w:val="24"/>
          <w:szCs w:val="24"/>
        </w:rPr>
        <w:t>sactivaciones en plataforma de s</w:t>
      </w:r>
      <w:r w:rsidRPr="000360C2">
        <w:rPr>
          <w:sz w:val="24"/>
          <w:szCs w:val="24"/>
        </w:rPr>
        <w:t>ervicios estándar, de las colas tanto automáticas como manuales.</w:t>
      </w:r>
    </w:p>
    <w:p w:rsidR="00E770FF" w:rsidRPr="00E770FF" w:rsidRDefault="00E770FF" w:rsidP="007B2A2A">
      <w:pPr>
        <w:pStyle w:val="Ttulo1"/>
      </w:pPr>
      <w:bookmarkStart w:id="3" w:name="_Toc454460395"/>
      <w:r w:rsidRPr="00E770FF">
        <w:t>Visión</w:t>
      </w:r>
      <w:bookmarkEnd w:id="3"/>
    </w:p>
    <w:p w:rsidR="000D371C" w:rsidRDefault="000D371C" w:rsidP="004B638B">
      <w:pPr>
        <w:jc w:val="both"/>
        <w:rPr>
          <w:sz w:val="24"/>
          <w:szCs w:val="24"/>
        </w:rPr>
      </w:pPr>
      <w:r>
        <w:rPr>
          <w:sz w:val="24"/>
          <w:szCs w:val="24"/>
        </w:rPr>
        <w:t>Contribuir</w:t>
      </w:r>
      <w:r w:rsidR="0052340F">
        <w:rPr>
          <w:sz w:val="24"/>
          <w:szCs w:val="24"/>
        </w:rPr>
        <w:t>emos</w:t>
      </w:r>
      <w:r>
        <w:rPr>
          <w:sz w:val="24"/>
          <w:szCs w:val="24"/>
        </w:rPr>
        <w:t xml:space="preserve"> al desarrollo de la compañía mediante actividades de salvamento en las transacciones </w:t>
      </w:r>
      <w:r w:rsidR="0052340F">
        <w:rPr>
          <w:sz w:val="24"/>
          <w:szCs w:val="24"/>
        </w:rPr>
        <w:t>que presenten</w:t>
      </w:r>
      <w:r w:rsidR="00A80B00">
        <w:rPr>
          <w:sz w:val="24"/>
          <w:szCs w:val="24"/>
        </w:rPr>
        <w:t xml:space="preserve"> errores </w:t>
      </w:r>
      <w:r w:rsidR="00494504">
        <w:rPr>
          <w:sz w:val="24"/>
          <w:szCs w:val="24"/>
        </w:rPr>
        <w:t>en las</w:t>
      </w:r>
      <w:r w:rsidR="00A80B00">
        <w:rPr>
          <w:sz w:val="24"/>
          <w:szCs w:val="24"/>
        </w:rPr>
        <w:t xml:space="preserve"> plataformas</w:t>
      </w:r>
      <w:r w:rsidR="00494504">
        <w:rPr>
          <w:sz w:val="24"/>
          <w:szCs w:val="24"/>
        </w:rPr>
        <w:t>,</w:t>
      </w:r>
      <w:r w:rsidR="00A80B00">
        <w:rPr>
          <w:sz w:val="24"/>
          <w:szCs w:val="24"/>
        </w:rPr>
        <w:t xml:space="preserve"> </w:t>
      </w:r>
      <w:r w:rsidR="00494504">
        <w:rPr>
          <w:sz w:val="24"/>
          <w:szCs w:val="24"/>
        </w:rPr>
        <w:t xml:space="preserve">con lo cual se </w:t>
      </w:r>
      <w:r w:rsidR="00A80B00">
        <w:rPr>
          <w:sz w:val="24"/>
          <w:szCs w:val="24"/>
        </w:rPr>
        <w:t>genera</w:t>
      </w:r>
      <w:r w:rsidR="00494504">
        <w:rPr>
          <w:sz w:val="24"/>
          <w:szCs w:val="24"/>
        </w:rPr>
        <w:t>rá</w:t>
      </w:r>
      <w:r w:rsidR="00A80B00">
        <w:rPr>
          <w:sz w:val="24"/>
          <w:szCs w:val="24"/>
        </w:rPr>
        <w:t xml:space="preserve"> </w:t>
      </w:r>
      <w:r w:rsidR="0052340F">
        <w:rPr>
          <w:sz w:val="24"/>
          <w:szCs w:val="24"/>
        </w:rPr>
        <w:t>valor a los procesos, apoyando la consecución de las metas y propendiendo por la satisfacción de nuestros clientes. De esta manera</w:t>
      </w:r>
      <w:r w:rsidR="00494504">
        <w:rPr>
          <w:sz w:val="24"/>
          <w:szCs w:val="24"/>
        </w:rPr>
        <w:t>,</w:t>
      </w:r>
      <w:r w:rsidR="0052340F">
        <w:rPr>
          <w:sz w:val="24"/>
          <w:szCs w:val="24"/>
        </w:rPr>
        <w:t xml:space="preserve"> el equipo se consolidará y seguirá siendo una pieza clave en el engranaje de la operación de la compañía.</w:t>
      </w:r>
    </w:p>
    <w:p w:rsidR="00211689" w:rsidRDefault="00211689" w:rsidP="007B2A2A">
      <w:pPr>
        <w:pStyle w:val="Ttulo1"/>
      </w:pPr>
      <w:bookmarkStart w:id="4" w:name="_Toc454460396"/>
      <w:r w:rsidRPr="00211689">
        <w:t>Objetivos</w:t>
      </w:r>
      <w:bookmarkEnd w:id="4"/>
    </w:p>
    <w:p w:rsidR="00211689" w:rsidRPr="00211689" w:rsidRDefault="00211689" w:rsidP="007B2A2A">
      <w:pPr>
        <w:pStyle w:val="Ttulo2"/>
      </w:pPr>
      <w:bookmarkStart w:id="5" w:name="_Toc454460397"/>
      <w:r w:rsidRPr="00211689">
        <w:t>Objetivo principal</w:t>
      </w:r>
      <w:bookmarkEnd w:id="5"/>
    </w:p>
    <w:p w:rsidR="00211689" w:rsidRDefault="00A37949" w:rsidP="004B63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Gestionar el 100% de los pedidos </w:t>
      </w:r>
      <w:r w:rsidR="007748EE">
        <w:rPr>
          <w:sz w:val="24"/>
          <w:szCs w:val="24"/>
        </w:rPr>
        <w:t>con</w:t>
      </w:r>
      <w:r>
        <w:rPr>
          <w:sz w:val="24"/>
          <w:szCs w:val="24"/>
        </w:rPr>
        <w:t xml:space="preserve"> excepcionados incumbentes al Equipo de Activación y Desactivación en Plataformas y cumplir con los ANS propuestos por la compañía.</w:t>
      </w:r>
    </w:p>
    <w:p w:rsidR="00211689" w:rsidRDefault="00211689" w:rsidP="007B2A2A">
      <w:pPr>
        <w:pStyle w:val="Ttulo2"/>
      </w:pPr>
      <w:bookmarkStart w:id="6" w:name="_Toc454460398"/>
      <w:r w:rsidRPr="00211689">
        <w:t>Objetivos secundarios</w:t>
      </w:r>
      <w:bookmarkEnd w:id="6"/>
    </w:p>
    <w:p w:rsidR="00A37949" w:rsidRDefault="00A37949" w:rsidP="001D2D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D2D5C">
        <w:rPr>
          <w:sz w:val="24"/>
          <w:szCs w:val="24"/>
        </w:rPr>
        <w:t xml:space="preserve">Participar en </w:t>
      </w:r>
      <w:r w:rsidR="001D2D5C" w:rsidRPr="001D2D5C">
        <w:rPr>
          <w:sz w:val="24"/>
          <w:szCs w:val="24"/>
        </w:rPr>
        <w:t>el desarrollo de nuevos productos y servicios mediante el apoyo de factibilidades nuevas.</w:t>
      </w:r>
    </w:p>
    <w:p w:rsidR="001D2D5C" w:rsidRDefault="00D87B20" w:rsidP="001D2D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Garantizar el cumplimiento de citas de clientes de instalación con pedidos excepcionados (amarillos) que dependan de la gestión del Equipo de Activación y Desactivación en Plataformas.</w:t>
      </w:r>
    </w:p>
    <w:p w:rsidR="00D87B20" w:rsidRDefault="00F63959" w:rsidP="001D2D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Gestionar de manera oportuna las actividades asignadas </w:t>
      </w:r>
      <w:r w:rsidR="003E701B">
        <w:rPr>
          <w:sz w:val="24"/>
          <w:szCs w:val="24"/>
        </w:rPr>
        <w:t xml:space="preserve">cuyo error esté dentro del alcance del Equipo de Activación y Desactivación en Plataformas </w:t>
      </w:r>
      <w:r w:rsidR="00E36CD8">
        <w:rPr>
          <w:sz w:val="24"/>
          <w:szCs w:val="24"/>
        </w:rPr>
        <w:t>y</w:t>
      </w:r>
      <w:r>
        <w:rPr>
          <w:sz w:val="24"/>
          <w:szCs w:val="24"/>
        </w:rPr>
        <w:t xml:space="preserve"> favorecer el cumplimiento del indicador TMD</w:t>
      </w:r>
      <w:r w:rsidR="00182CDE">
        <w:rPr>
          <w:sz w:val="24"/>
          <w:szCs w:val="24"/>
        </w:rPr>
        <w:t xml:space="preserve"> (tiempo medio de desaprovisionamiento)</w:t>
      </w:r>
      <w:r w:rsidR="003E701B">
        <w:rPr>
          <w:sz w:val="24"/>
          <w:szCs w:val="24"/>
        </w:rPr>
        <w:t>.</w:t>
      </w:r>
    </w:p>
    <w:p w:rsidR="001D2D5C" w:rsidRDefault="00221073" w:rsidP="007B2A2A">
      <w:pPr>
        <w:pStyle w:val="Ttulo1"/>
      </w:pPr>
      <w:bookmarkStart w:id="7" w:name="_Toc454460399"/>
      <w:r w:rsidRPr="00221073">
        <w:t>Actividades en Fénix</w:t>
      </w:r>
      <w:bookmarkEnd w:id="7"/>
    </w:p>
    <w:p w:rsidR="00221073" w:rsidRDefault="00221073" w:rsidP="000F597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4283661" cy="2822164"/>
            <wp:effectExtent l="19050" t="0" r="258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56" cy="283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67" w:rsidRDefault="00115737" w:rsidP="004B63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alcance de las actividades del Equipo de Activación y Desactivación en Plataformas en Fénix está delimitado en la </w:t>
      </w:r>
      <w:r w:rsidR="00207222">
        <w:rPr>
          <w:sz w:val="24"/>
          <w:szCs w:val="24"/>
        </w:rPr>
        <w:t>etapa CONFI con su batería transaccional en los tipos trabajos: RECON, SUSPE, RETIR, CAMBI y NUEVO.</w:t>
      </w:r>
    </w:p>
    <w:p w:rsidR="001E32E0" w:rsidRDefault="001E32E0" w:rsidP="004B638B">
      <w:pPr>
        <w:jc w:val="both"/>
        <w:rPr>
          <w:sz w:val="24"/>
          <w:szCs w:val="24"/>
        </w:rPr>
      </w:pPr>
      <w:r>
        <w:rPr>
          <w:sz w:val="24"/>
          <w:szCs w:val="24"/>
        </w:rPr>
        <w:t>El proceso en general y de manera gráfica se esboza a continuación:</w:t>
      </w:r>
    </w:p>
    <w:p w:rsidR="001E32E0" w:rsidRDefault="001E32E0" w:rsidP="004B638B">
      <w:pPr>
        <w:jc w:val="both"/>
        <w:rPr>
          <w:sz w:val="24"/>
          <w:szCs w:val="24"/>
        </w:rPr>
      </w:pPr>
    </w:p>
    <w:p w:rsidR="001E32E0" w:rsidRDefault="001E32E0" w:rsidP="004B638B">
      <w:pPr>
        <w:jc w:val="both"/>
        <w:rPr>
          <w:sz w:val="24"/>
          <w:szCs w:val="24"/>
        </w:rPr>
      </w:pPr>
      <w:r w:rsidRPr="001E32E0">
        <w:rPr>
          <w:noProof/>
          <w:sz w:val="24"/>
          <w:szCs w:val="24"/>
          <w:lang w:eastAsia="es-CO"/>
        </w:rPr>
        <w:drawing>
          <wp:inline distT="0" distB="0" distL="0" distR="0">
            <wp:extent cx="5612130" cy="4200525"/>
            <wp:effectExtent l="19050" t="0" r="7620" b="0"/>
            <wp:docPr id="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6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15" w:rsidRDefault="00F32C15" w:rsidP="004B638B">
      <w:pPr>
        <w:jc w:val="both"/>
        <w:rPr>
          <w:sz w:val="24"/>
          <w:szCs w:val="24"/>
        </w:rPr>
      </w:pPr>
    </w:p>
    <w:p w:rsidR="001B2E72" w:rsidRPr="001B2E72" w:rsidRDefault="001B2E72" w:rsidP="007B2A2A">
      <w:pPr>
        <w:pStyle w:val="Ttulo1"/>
      </w:pPr>
      <w:bookmarkStart w:id="8" w:name="_Toc454460400"/>
      <w:r w:rsidRPr="001B2E72">
        <w:t>Equipo de trabajo</w:t>
      </w:r>
      <w:bookmarkEnd w:id="8"/>
    </w:p>
    <w:p w:rsidR="001B2E72" w:rsidRDefault="00332002" w:rsidP="004B63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actualidad, el equipo </w:t>
      </w:r>
      <w:r w:rsidR="00DA7FFB">
        <w:rPr>
          <w:sz w:val="24"/>
          <w:szCs w:val="24"/>
        </w:rPr>
        <w:t>se encuentra ubicado 100% en el despacho de Belén (</w:t>
      </w:r>
      <w:r w:rsidR="00DA7FFB" w:rsidRPr="00DA7FFB">
        <w:rPr>
          <w:sz w:val="24"/>
          <w:szCs w:val="24"/>
        </w:rPr>
        <w:t>Cra</w:t>
      </w:r>
      <w:r w:rsidR="00DA7FFB">
        <w:rPr>
          <w:sz w:val="24"/>
          <w:szCs w:val="24"/>
        </w:rPr>
        <w:t>.</w:t>
      </w:r>
      <w:r w:rsidR="00DA7FFB" w:rsidRPr="00DA7FFB">
        <w:rPr>
          <w:sz w:val="24"/>
          <w:szCs w:val="24"/>
        </w:rPr>
        <w:t xml:space="preserve"> 66B No 32 - 106</w:t>
      </w:r>
      <w:r w:rsidR="00DA7FFB">
        <w:rPr>
          <w:sz w:val="24"/>
          <w:szCs w:val="24"/>
        </w:rPr>
        <w:t xml:space="preserve">) y </w:t>
      </w:r>
      <w:r>
        <w:rPr>
          <w:sz w:val="24"/>
          <w:szCs w:val="24"/>
        </w:rPr>
        <w:t xml:space="preserve">consta de 11 personas </w:t>
      </w:r>
      <w:r w:rsidR="00A43389">
        <w:rPr>
          <w:sz w:val="24"/>
          <w:szCs w:val="24"/>
        </w:rPr>
        <w:t xml:space="preserve">que cubren una malla horaria semanal comprendida en varios turnos, de tal manera que se cubre una franja horaria </w:t>
      </w:r>
      <w:r>
        <w:rPr>
          <w:sz w:val="24"/>
          <w:szCs w:val="24"/>
        </w:rPr>
        <w:t>de</w:t>
      </w:r>
      <w:r w:rsidR="00A43389">
        <w:rPr>
          <w:sz w:val="24"/>
          <w:szCs w:val="24"/>
        </w:rPr>
        <w:t>sde las 05:00 am a 17:30 pm entre lunes</w:t>
      </w:r>
      <w:r w:rsidR="0017725D">
        <w:rPr>
          <w:sz w:val="24"/>
          <w:szCs w:val="24"/>
        </w:rPr>
        <w:t>-</w:t>
      </w:r>
      <w:r w:rsidR="00A43389">
        <w:rPr>
          <w:sz w:val="24"/>
          <w:szCs w:val="24"/>
        </w:rPr>
        <w:t>viernes, los sábados</w:t>
      </w:r>
      <w:r w:rsidR="0017725D">
        <w:rPr>
          <w:sz w:val="24"/>
          <w:szCs w:val="24"/>
        </w:rPr>
        <w:t>-</w:t>
      </w:r>
      <w:r w:rsidR="00A43389">
        <w:rPr>
          <w:sz w:val="24"/>
          <w:szCs w:val="24"/>
        </w:rPr>
        <w:t>festivos de 07:00 am a 15:30 pm.</w:t>
      </w:r>
    </w:p>
    <w:p w:rsidR="00256041" w:rsidRDefault="00256041" w:rsidP="004B638B">
      <w:pPr>
        <w:jc w:val="both"/>
        <w:rPr>
          <w:sz w:val="24"/>
          <w:szCs w:val="24"/>
        </w:rPr>
      </w:pPr>
    </w:p>
    <w:p w:rsidR="00256041" w:rsidRDefault="00256041" w:rsidP="004B638B">
      <w:pPr>
        <w:jc w:val="both"/>
        <w:rPr>
          <w:sz w:val="24"/>
          <w:szCs w:val="24"/>
        </w:rPr>
      </w:pPr>
    </w:p>
    <w:p w:rsidR="00332002" w:rsidRDefault="00332002" w:rsidP="004B638B">
      <w:pPr>
        <w:jc w:val="both"/>
        <w:rPr>
          <w:sz w:val="24"/>
          <w:szCs w:val="24"/>
        </w:rPr>
      </w:pPr>
      <w:bookmarkStart w:id="9" w:name="_Toc454460401"/>
      <w:r w:rsidRPr="007B2A2A">
        <w:rPr>
          <w:rStyle w:val="Ttulo2Car"/>
        </w:rPr>
        <w:t>Personal vinculado</w:t>
      </w:r>
      <w:bookmarkEnd w:id="9"/>
      <w:r>
        <w:rPr>
          <w:sz w:val="24"/>
          <w:szCs w:val="24"/>
        </w:rPr>
        <w:t>:</w:t>
      </w:r>
      <w:r w:rsidR="00DA7FFB">
        <w:rPr>
          <w:sz w:val="24"/>
          <w:szCs w:val="24"/>
        </w:rPr>
        <w:t xml:space="preserve"> Dos </w:t>
      </w:r>
      <w:r w:rsidR="00437C00">
        <w:rPr>
          <w:sz w:val="24"/>
          <w:szCs w:val="24"/>
        </w:rPr>
        <w:t xml:space="preserve">(2) </w:t>
      </w:r>
      <w:r w:rsidR="00DA7FFB">
        <w:rPr>
          <w:sz w:val="24"/>
          <w:szCs w:val="24"/>
        </w:rPr>
        <w:t>funcionarios.</w:t>
      </w:r>
    </w:p>
    <w:tbl>
      <w:tblPr>
        <w:tblStyle w:val="Tablaconcuadrcula"/>
        <w:tblW w:w="0" w:type="auto"/>
        <w:tblLook w:val="04A0"/>
      </w:tblPr>
      <w:tblGrid>
        <w:gridCol w:w="3369"/>
        <w:gridCol w:w="5670"/>
      </w:tblGrid>
      <w:tr w:rsidR="00437C00" w:rsidTr="00437C00">
        <w:tc>
          <w:tcPr>
            <w:tcW w:w="3369" w:type="dxa"/>
          </w:tcPr>
          <w:p w:rsidR="00437C00" w:rsidRPr="00437C00" w:rsidRDefault="00437C00" w:rsidP="00437C00">
            <w:pPr>
              <w:jc w:val="center"/>
              <w:rPr>
                <w:b/>
                <w:sz w:val="24"/>
                <w:szCs w:val="24"/>
              </w:rPr>
            </w:pPr>
            <w:r w:rsidRPr="00437C0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</w:tcPr>
          <w:p w:rsidR="00437C00" w:rsidRPr="00437C00" w:rsidRDefault="00437C00" w:rsidP="00437C00">
            <w:pPr>
              <w:jc w:val="center"/>
              <w:rPr>
                <w:b/>
                <w:sz w:val="24"/>
                <w:szCs w:val="24"/>
              </w:rPr>
            </w:pPr>
            <w:r w:rsidRPr="00437C00">
              <w:rPr>
                <w:b/>
                <w:sz w:val="24"/>
                <w:szCs w:val="24"/>
              </w:rPr>
              <w:t>Cargo</w:t>
            </w:r>
          </w:p>
        </w:tc>
      </w:tr>
      <w:tr w:rsidR="00437C00" w:rsidTr="00437C00">
        <w:tc>
          <w:tcPr>
            <w:tcW w:w="3369" w:type="dxa"/>
            <w:vAlign w:val="center"/>
          </w:tcPr>
          <w:p w:rsidR="00437C00" w:rsidRDefault="00437C00" w:rsidP="00437C00">
            <w:pPr>
              <w:rPr>
                <w:sz w:val="24"/>
                <w:szCs w:val="24"/>
              </w:rPr>
            </w:pPr>
            <w:r w:rsidRPr="00DA7FFB">
              <w:rPr>
                <w:sz w:val="24"/>
                <w:szCs w:val="24"/>
              </w:rPr>
              <w:t>Heber De Jesus Rios Perez</w:t>
            </w:r>
          </w:p>
        </w:tc>
        <w:tc>
          <w:tcPr>
            <w:tcW w:w="5670" w:type="dxa"/>
          </w:tcPr>
          <w:p w:rsidR="00437C00" w:rsidRDefault="00437C00" w:rsidP="004B63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Asistente comercial de Activación y Desactivación en plataformas</w:t>
            </w:r>
          </w:p>
        </w:tc>
      </w:tr>
      <w:tr w:rsidR="00437C00" w:rsidTr="00437C00">
        <w:tc>
          <w:tcPr>
            <w:tcW w:w="3369" w:type="dxa"/>
            <w:vAlign w:val="center"/>
          </w:tcPr>
          <w:p w:rsidR="00437C00" w:rsidRDefault="00437C00" w:rsidP="0043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de J. Rodríguez Pérez</w:t>
            </w:r>
          </w:p>
        </w:tc>
        <w:tc>
          <w:tcPr>
            <w:tcW w:w="5670" w:type="dxa"/>
          </w:tcPr>
          <w:p w:rsidR="00437C00" w:rsidRDefault="00437C00" w:rsidP="004B63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 de Activación y Desactivación en plataformas</w:t>
            </w:r>
          </w:p>
        </w:tc>
      </w:tr>
    </w:tbl>
    <w:p w:rsidR="0017725D" w:rsidRDefault="0017725D" w:rsidP="004B638B">
      <w:pPr>
        <w:jc w:val="both"/>
        <w:rPr>
          <w:sz w:val="24"/>
          <w:szCs w:val="24"/>
        </w:rPr>
      </w:pPr>
    </w:p>
    <w:p w:rsidR="00332002" w:rsidRDefault="00332002" w:rsidP="004B638B">
      <w:pPr>
        <w:jc w:val="both"/>
        <w:rPr>
          <w:sz w:val="24"/>
          <w:szCs w:val="24"/>
        </w:rPr>
      </w:pPr>
      <w:bookmarkStart w:id="10" w:name="_Toc454460402"/>
      <w:r w:rsidRPr="007B2A2A">
        <w:rPr>
          <w:rStyle w:val="Ttulo2Car"/>
        </w:rPr>
        <w:t>Personal contratado</w:t>
      </w:r>
      <w:bookmarkEnd w:id="10"/>
      <w:r>
        <w:rPr>
          <w:sz w:val="24"/>
          <w:szCs w:val="24"/>
        </w:rPr>
        <w:t>:</w:t>
      </w:r>
      <w:r w:rsidR="00437C00">
        <w:rPr>
          <w:sz w:val="24"/>
          <w:szCs w:val="24"/>
        </w:rPr>
        <w:t xml:space="preserve"> Nueve (</w:t>
      </w:r>
      <w:r w:rsidR="00CA567B">
        <w:rPr>
          <w:sz w:val="24"/>
          <w:szCs w:val="24"/>
        </w:rPr>
        <w:t>10</w:t>
      </w:r>
      <w:r w:rsidR="00437C00">
        <w:rPr>
          <w:sz w:val="24"/>
          <w:szCs w:val="24"/>
        </w:rPr>
        <w:t>) funcionarios adscritos al contrato de Emtelco.</w:t>
      </w:r>
    </w:p>
    <w:tbl>
      <w:tblPr>
        <w:tblStyle w:val="Tablaconcuadrcula"/>
        <w:tblW w:w="0" w:type="auto"/>
        <w:tblLook w:val="04A0"/>
      </w:tblPr>
      <w:tblGrid>
        <w:gridCol w:w="3510"/>
        <w:gridCol w:w="2127"/>
      </w:tblGrid>
      <w:tr w:rsidR="00E26BB7" w:rsidTr="00167121">
        <w:tc>
          <w:tcPr>
            <w:tcW w:w="3510" w:type="dxa"/>
          </w:tcPr>
          <w:p w:rsidR="00E26BB7" w:rsidRPr="00437C00" w:rsidRDefault="00E26BB7" w:rsidP="007D6BE8">
            <w:pPr>
              <w:jc w:val="center"/>
              <w:rPr>
                <w:b/>
                <w:sz w:val="24"/>
                <w:szCs w:val="24"/>
              </w:rPr>
            </w:pPr>
            <w:r w:rsidRPr="00437C0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127" w:type="dxa"/>
          </w:tcPr>
          <w:p w:rsidR="00E26BB7" w:rsidRPr="00437C00" w:rsidRDefault="00E26BB7" w:rsidP="007D6BE8">
            <w:pPr>
              <w:jc w:val="center"/>
              <w:rPr>
                <w:b/>
                <w:sz w:val="24"/>
                <w:szCs w:val="24"/>
              </w:rPr>
            </w:pPr>
            <w:r w:rsidRPr="00437C00">
              <w:rPr>
                <w:b/>
                <w:sz w:val="24"/>
                <w:szCs w:val="24"/>
              </w:rPr>
              <w:t>Cargo</w:t>
            </w:r>
          </w:p>
        </w:tc>
      </w:tr>
      <w:tr w:rsidR="00E26BB7" w:rsidTr="00167121">
        <w:tc>
          <w:tcPr>
            <w:tcW w:w="3510" w:type="dxa"/>
          </w:tcPr>
          <w:p w:rsidR="00E26BB7" w:rsidRDefault="00E26BB7" w:rsidP="00167121">
            <w:pPr>
              <w:jc w:val="both"/>
              <w:rPr>
                <w:sz w:val="24"/>
                <w:szCs w:val="24"/>
              </w:rPr>
            </w:pPr>
            <w:r w:rsidRPr="00E26BB7">
              <w:rPr>
                <w:sz w:val="24"/>
                <w:szCs w:val="24"/>
              </w:rPr>
              <w:t>Diana C</w:t>
            </w:r>
            <w:r w:rsidR="00167121">
              <w:rPr>
                <w:sz w:val="24"/>
                <w:szCs w:val="24"/>
              </w:rPr>
              <w:t>.</w:t>
            </w:r>
            <w:r w:rsidRPr="00E26BB7">
              <w:rPr>
                <w:sz w:val="24"/>
                <w:szCs w:val="24"/>
              </w:rPr>
              <w:t xml:space="preserve"> Pulgarin Arroyave</w:t>
            </w:r>
          </w:p>
        </w:tc>
        <w:tc>
          <w:tcPr>
            <w:tcW w:w="2127" w:type="dxa"/>
          </w:tcPr>
          <w:p w:rsidR="00E26BB7" w:rsidRDefault="007C1CBF" w:rsidP="004B638B">
            <w:pPr>
              <w:jc w:val="both"/>
              <w:rPr>
                <w:sz w:val="24"/>
                <w:szCs w:val="24"/>
              </w:rPr>
            </w:pPr>
            <w:r w:rsidRPr="007C1CBF">
              <w:rPr>
                <w:noProof/>
                <w:lang w:val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107.1pt;margin-top:8.75pt;width:177.2pt;height:109.5pt;z-index:251662336;mso-wrap-style:none;mso-position-horizontal-relative:text;mso-position-vertical-relative:text;mso-width-relative:margin;mso-height-relative:margin" strokecolor="#ffc000">
                  <v:textbox style="mso-fit-shape-to-text:t">
                    <w:txbxContent>
                      <w:p w:rsidR="00167121" w:rsidRPr="00167121" w:rsidRDefault="00167121" w:rsidP="00167121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099120" cy="1174385"/>
                              <wp:effectExtent l="19050" t="0" r="0" b="0"/>
                              <wp:docPr id="6" name="Imagen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99122" cy="11743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26BB7">
              <w:rPr>
                <w:sz w:val="24"/>
                <w:szCs w:val="24"/>
              </w:rPr>
              <w:t>Gestor Técnico</w:t>
            </w:r>
          </w:p>
        </w:tc>
      </w:tr>
      <w:tr w:rsidR="00E26BB7" w:rsidTr="00167121">
        <w:tc>
          <w:tcPr>
            <w:tcW w:w="3510" w:type="dxa"/>
          </w:tcPr>
          <w:p w:rsidR="00E26BB7" w:rsidRDefault="00E26BB7" w:rsidP="004B638B">
            <w:pPr>
              <w:jc w:val="both"/>
              <w:rPr>
                <w:sz w:val="24"/>
                <w:szCs w:val="24"/>
              </w:rPr>
            </w:pPr>
            <w:r w:rsidRPr="00E26BB7">
              <w:rPr>
                <w:sz w:val="24"/>
                <w:szCs w:val="24"/>
              </w:rPr>
              <w:t>Leonardo Esteban Marin Valencia</w:t>
            </w:r>
          </w:p>
        </w:tc>
        <w:tc>
          <w:tcPr>
            <w:tcW w:w="2127" w:type="dxa"/>
          </w:tcPr>
          <w:p w:rsidR="00E26BB7" w:rsidRDefault="00E26BB7" w:rsidP="004B63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Soporte de Nivel 4</w:t>
            </w:r>
          </w:p>
        </w:tc>
      </w:tr>
      <w:tr w:rsidR="00E26BB7" w:rsidTr="00167121">
        <w:tc>
          <w:tcPr>
            <w:tcW w:w="3510" w:type="dxa"/>
          </w:tcPr>
          <w:p w:rsidR="00E26BB7" w:rsidRDefault="00E26BB7" w:rsidP="004B638B">
            <w:pPr>
              <w:jc w:val="both"/>
              <w:rPr>
                <w:sz w:val="24"/>
                <w:szCs w:val="24"/>
              </w:rPr>
            </w:pPr>
            <w:r w:rsidRPr="00E26BB7">
              <w:rPr>
                <w:sz w:val="24"/>
                <w:szCs w:val="24"/>
              </w:rPr>
              <w:t>Hernan Dario Muñoz Mejia</w:t>
            </w:r>
          </w:p>
        </w:tc>
        <w:tc>
          <w:tcPr>
            <w:tcW w:w="2127" w:type="dxa"/>
          </w:tcPr>
          <w:p w:rsidR="00E26BB7" w:rsidRDefault="00E26BB7" w:rsidP="004B63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Soporte de Nivel 4</w:t>
            </w:r>
          </w:p>
        </w:tc>
      </w:tr>
      <w:tr w:rsidR="00E26BB7" w:rsidTr="00167121">
        <w:tc>
          <w:tcPr>
            <w:tcW w:w="3510" w:type="dxa"/>
          </w:tcPr>
          <w:p w:rsidR="00E26BB7" w:rsidRDefault="00E26BB7" w:rsidP="004B638B">
            <w:pPr>
              <w:jc w:val="both"/>
              <w:rPr>
                <w:sz w:val="24"/>
                <w:szCs w:val="24"/>
              </w:rPr>
            </w:pPr>
            <w:r w:rsidRPr="00E26BB7">
              <w:rPr>
                <w:sz w:val="24"/>
                <w:szCs w:val="24"/>
              </w:rPr>
              <w:t>Nelson Favian Patiño Perez</w:t>
            </w:r>
          </w:p>
        </w:tc>
        <w:tc>
          <w:tcPr>
            <w:tcW w:w="2127" w:type="dxa"/>
          </w:tcPr>
          <w:p w:rsidR="00E26BB7" w:rsidRDefault="00E26BB7" w:rsidP="004B63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Soporte de Nivel 4</w:t>
            </w:r>
          </w:p>
        </w:tc>
      </w:tr>
      <w:tr w:rsidR="00E26BB7" w:rsidTr="00167121">
        <w:tc>
          <w:tcPr>
            <w:tcW w:w="3510" w:type="dxa"/>
          </w:tcPr>
          <w:p w:rsidR="00E26BB7" w:rsidRDefault="00462625" w:rsidP="004B638B">
            <w:pPr>
              <w:jc w:val="both"/>
              <w:rPr>
                <w:sz w:val="24"/>
                <w:szCs w:val="24"/>
              </w:rPr>
            </w:pPr>
            <w:r w:rsidRPr="00E26BB7">
              <w:rPr>
                <w:sz w:val="24"/>
                <w:szCs w:val="24"/>
              </w:rPr>
              <w:t>Luis Gonzalo Mejía Alzate</w:t>
            </w:r>
          </w:p>
        </w:tc>
        <w:tc>
          <w:tcPr>
            <w:tcW w:w="2127" w:type="dxa"/>
          </w:tcPr>
          <w:p w:rsidR="00E26BB7" w:rsidRDefault="00E26BB7" w:rsidP="004B63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Soporte de Nivel 4</w:t>
            </w:r>
          </w:p>
        </w:tc>
      </w:tr>
      <w:tr w:rsidR="00E26BB7" w:rsidTr="00167121">
        <w:tc>
          <w:tcPr>
            <w:tcW w:w="3510" w:type="dxa"/>
          </w:tcPr>
          <w:p w:rsidR="00E26BB7" w:rsidRDefault="00E26BB7" w:rsidP="007D6BE8">
            <w:pPr>
              <w:jc w:val="both"/>
              <w:rPr>
                <w:sz w:val="24"/>
                <w:szCs w:val="24"/>
              </w:rPr>
            </w:pPr>
            <w:r w:rsidRPr="00E26BB7">
              <w:rPr>
                <w:sz w:val="24"/>
                <w:szCs w:val="24"/>
              </w:rPr>
              <w:t>Diana Lorena Londoño</w:t>
            </w:r>
          </w:p>
        </w:tc>
        <w:tc>
          <w:tcPr>
            <w:tcW w:w="2127" w:type="dxa"/>
          </w:tcPr>
          <w:p w:rsidR="00E26BB7" w:rsidRDefault="00E26BB7" w:rsidP="007D6B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Soporte de Nivel 3</w:t>
            </w:r>
          </w:p>
        </w:tc>
      </w:tr>
      <w:tr w:rsidR="00E26BB7" w:rsidTr="00167121">
        <w:tc>
          <w:tcPr>
            <w:tcW w:w="3510" w:type="dxa"/>
          </w:tcPr>
          <w:p w:rsidR="00E26BB7" w:rsidRDefault="00E26BB7" w:rsidP="007D6BE8">
            <w:pPr>
              <w:jc w:val="both"/>
              <w:rPr>
                <w:sz w:val="24"/>
                <w:szCs w:val="24"/>
              </w:rPr>
            </w:pPr>
            <w:r w:rsidRPr="00E26BB7">
              <w:rPr>
                <w:sz w:val="24"/>
                <w:szCs w:val="24"/>
              </w:rPr>
              <w:t>Nasly Marieth Gaviria</w:t>
            </w:r>
          </w:p>
        </w:tc>
        <w:tc>
          <w:tcPr>
            <w:tcW w:w="2127" w:type="dxa"/>
          </w:tcPr>
          <w:p w:rsidR="00E26BB7" w:rsidRDefault="00E26BB7" w:rsidP="007D6B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Soporte de Nivel 3</w:t>
            </w:r>
          </w:p>
        </w:tc>
      </w:tr>
      <w:tr w:rsidR="00E26BB7" w:rsidTr="00167121">
        <w:tc>
          <w:tcPr>
            <w:tcW w:w="3510" w:type="dxa"/>
          </w:tcPr>
          <w:p w:rsidR="00E26BB7" w:rsidRPr="00E26BB7" w:rsidRDefault="00E26BB7" w:rsidP="007D6BE8">
            <w:pPr>
              <w:jc w:val="both"/>
              <w:rPr>
                <w:sz w:val="24"/>
                <w:szCs w:val="24"/>
              </w:rPr>
            </w:pPr>
            <w:r w:rsidRPr="00E26BB7">
              <w:rPr>
                <w:sz w:val="24"/>
                <w:szCs w:val="24"/>
              </w:rPr>
              <w:t>Alexander Mejia Aguirre</w:t>
            </w:r>
          </w:p>
        </w:tc>
        <w:tc>
          <w:tcPr>
            <w:tcW w:w="2127" w:type="dxa"/>
          </w:tcPr>
          <w:p w:rsidR="00E26BB7" w:rsidRDefault="00E26BB7" w:rsidP="007D6B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Soporte de Nivel 3</w:t>
            </w:r>
          </w:p>
        </w:tc>
      </w:tr>
      <w:tr w:rsidR="00E26BB7" w:rsidTr="00167121">
        <w:tc>
          <w:tcPr>
            <w:tcW w:w="3510" w:type="dxa"/>
          </w:tcPr>
          <w:p w:rsidR="00E26BB7" w:rsidRPr="00E26BB7" w:rsidRDefault="00E26BB7" w:rsidP="007D6BE8">
            <w:pPr>
              <w:jc w:val="both"/>
              <w:rPr>
                <w:sz w:val="24"/>
                <w:szCs w:val="24"/>
              </w:rPr>
            </w:pPr>
            <w:r w:rsidRPr="00E26BB7">
              <w:rPr>
                <w:sz w:val="24"/>
                <w:szCs w:val="24"/>
              </w:rPr>
              <w:t>Jairo Alonso Arias Gonzalez</w:t>
            </w:r>
          </w:p>
        </w:tc>
        <w:tc>
          <w:tcPr>
            <w:tcW w:w="2127" w:type="dxa"/>
          </w:tcPr>
          <w:p w:rsidR="00E26BB7" w:rsidRDefault="00E26BB7" w:rsidP="007D6B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Soporte de Nivel 3</w:t>
            </w:r>
          </w:p>
        </w:tc>
      </w:tr>
      <w:tr w:rsidR="00E26BB7" w:rsidTr="00167121">
        <w:tc>
          <w:tcPr>
            <w:tcW w:w="3510" w:type="dxa"/>
          </w:tcPr>
          <w:p w:rsidR="00E26BB7" w:rsidRDefault="00462625" w:rsidP="004B63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Andrés Mauricio Vargas</w:t>
            </w:r>
          </w:p>
        </w:tc>
        <w:tc>
          <w:tcPr>
            <w:tcW w:w="2127" w:type="dxa"/>
          </w:tcPr>
          <w:p w:rsidR="00E26BB7" w:rsidRDefault="00E26BB7" w:rsidP="004B63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Soporte de Nivel 3</w:t>
            </w:r>
          </w:p>
        </w:tc>
      </w:tr>
    </w:tbl>
    <w:p w:rsidR="00FF1804" w:rsidRDefault="00FF1804" w:rsidP="00FF1804">
      <w:pPr>
        <w:pStyle w:val="Ttulo1"/>
      </w:pPr>
      <w:bookmarkStart w:id="11" w:name="_Toc454460403"/>
      <w:r>
        <w:t>Actividades</w:t>
      </w:r>
      <w:bookmarkEnd w:id="11"/>
    </w:p>
    <w:p w:rsidR="00EE30B5" w:rsidRDefault="00EE30B5" w:rsidP="005D06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Equipo de Activación y Desactivación en Plataformas tiene </w:t>
      </w:r>
      <w:r w:rsidR="008B0728">
        <w:rPr>
          <w:sz w:val="24"/>
          <w:szCs w:val="24"/>
        </w:rPr>
        <w:t xml:space="preserve">bajo su cargo </w:t>
      </w:r>
      <w:r w:rsidR="008A4436">
        <w:rPr>
          <w:sz w:val="24"/>
          <w:szCs w:val="24"/>
        </w:rPr>
        <w:t>87</w:t>
      </w:r>
      <w:r w:rsidR="008B0728">
        <w:rPr>
          <w:sz w:val="24"/>
          <w:szCs w:val="24"/>
        </w:rPr>
        <w:t xml:space="preserve"> </w:t>
      </w:r>
      <w:r w:rsidR="008A4436">
        <w:rPr>
          <w:sz w:val="24"/>
          <w:szCs w:val="24"/>
        </w:rPr>
        <w:t>actividades</w:t>
      </w:r>
      <w:r w:rsidR="008B0728">
        <w:rPr>
          <w:sz w:val="24"/>
          <w:szCs w:val="24"/>
        </w:rPr>
        <w:t>, a</w:t>
      </w:r>
      <w:r w:rsidR="00834A9E">
        <w:rPr>
          <w:sz w:val="24"/>
          <w:szCs w:val="24"/>
        </w:rPr>
        <w:t>l</w:t>
      </w:r>
      <w:r w:rsidR="008B0728">
        <w:rPr>
          <w:sz w:val="24"/>
          <w:szCs w:val="24"/>
        </w:rPr>
        <w:t>gunas de las cuales son manuales y otras automáticas. Algunos procesos efectuados no se consignan en colas de trabajo</w:t>
      </w:r>
      <w:r w:rsidR="001757B6">
        <w:rPr>
          <w:sz w:val="24"/>
          <w:szCs w:val="24"/>
        </w:rPr>
        <w:t>,</w:t>
      </w:r>
      <w:r w:rsidR="008B0728">
        <w:rPr>
          <w:sz w:val="24"/>
          <w:szCs w:val="24"/>
        </w:rPr>
        <w:t xml:space="preserve"> tales como la gestión </w:t>
      </w:r>
      <w:r w:rsidR="001757B6">
        <w:rPr>
          <w:sz w:val="24"/>
          <w:szCs w:val="24"/>
        </w:rPr>
        <w:t>de</w:t>
      </w:r>
      <w:r w:rsidR="008B0728">
        <w:rPr>
          <w:sz w:val="24"/>
          <w:szCs w:val="24"/>
        </w:rPr>
        <w:t xml:space="preserve"> equipos de laboratorio</w:t>
      </w:r>
      <w:r w:rsidR="00F1271C">
        <w:rPr>
          <w:sz w:val="24"/>
          <w:szCs w:val="24"/>
        </w:rPr>
        <w:t xml:space="preserve"> con errore</w:t>
      </w:r>
      <w:r w:rsidR="001757B6">
        <w:rPr>
          <w:sz w:val="24"/>
          <w:szCs w:val="24"/>
        </w:rPr>
        <w:t xml:space="preserve">s que no pueden salir a Terreno y </w:t>
      </w:r>
      <w:r w:rsidR="00611C7D">
        <w:rPr>
          <w:sz w:val="24"/>
          <w:szCs w:val="24"/>
        </w:rPr>
        <w:t>casos por Service Desck para DTH.</w:t>
      </w:r>
    </w:p>
    <w:p w:rsidR="005D0692" w:rsidRDefault="0018447A" w:rsidP="00DE08B2">
      <w:pPr>
        <w:jc w:val="both"/>
        <w:rPr>
          <w:sz w:val="24"/>
          <w:szCs w:val="24"/>
        </w:rPr>
      </w:pPr>
      <w:r>
        <w:rPr>
          <w:sz w:val="24"/>
          <w:szCs w:val="24"/>
        </w:rPr>
        <w:t>Para un mayor entendimiento del volumen de actividades remitirse al archivo</w:t>
      </w:r>
      <w:r w:rsidR="000801A5">
        <w:rPr>
          <w:sz w:val="24"/>
          <w:szCs w:val="24"/>
        </w:rPr>
        <w:t xml:space="preserve"> siguiente:</w:t>
      </w:r>
    </w:p>
    <w:bookmarkStart w:id="12" w:name="_MON_1521274818"/>
    <w:bookmarkEnd w:id="12"/>
    <w:p w:rsidR="00DE08B2" w:rsidRDefault="008A7FC3" w:rsidP="00DE08B2">
      <w:pPr>
        <w:jc w:val="both"/>
        <w:rPr>
          <w:sz w:val="24"/>
          <w:szCs w:val="24"/>
        </w:rPr>
      </w:pPr>
      <w:r w:rsidRPr="00272EFF">
        <w:rPr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45pt;height:50.25pt" o:ole="">
            <v:imagedata r:id="rId11" o:title=""/>
          </v:shape>
          <o:OLEObject Type="Embed" ProgID="Excel.Sheet.8" ShapeID="_x0000_i1026" DrawAspect="Icon" ObjectID="_1528202293" r:id="rId12"/>
        </w:object>
      </w:r>
    </w:p>
    <w:p w:rsidR="00332002" w:rsidRDefault="00F514BF" w:rsidP="00F514BF">
      <w:pPr>
        <w:pStyle w:val="Ttulo1"/>
      </w:pPr>
      <w:bookmarkStart w:id="13" w:name="_Toc454460404"/>
      <w:r>
        <w:t>Indicadores</w:t>
      </w:r>
      <w:bookmarkEnd w:id="13"/>
    </w:p>
    <w:p w:rsidR="00F514BF" w:rsidRDefault="00F514BF" w:rsidP="004B638B">
      <w:pPr>
        <w:jc w:val="both"/>
        <w:rPr>
          <w:sz w:val="24"/>
          <w:szCs w:val="24"/>
        </w:rPr>
      </w:pPr>
      <w:r>
        <w:rPr>
          <w:sz w:val="24"/>
          <w:szCs w:val="24"/>
        </w:rPr>
        <w:t>Los indicadores son una herramienta de vital importancia en la gestión</w:t>
      </w:r>
      <w:r w:rsidR="00182CDE">
        <w:rPr>
          <w:sz w:val="24"/>
          <w:szCs w:val="24"/>
        </w:rPr>
        <w:t xml:space="preserve"> de las actividades asignadas. En la actualidad se cuenta negociado y oficializado el TMD que es una métrica que calcula el tiempo medio de atención y es calculado por GI para Fénix y Élite. Se resalta que este indicador en Siebel no se mide dado que no se cuenta con bases de datos. Las características de la métrica son las siguientes:</w:t>
      </w:r>
    </w:p>
    <w:tbl>
      <w:tblPr>
        <w:tblW w:w="5085" w:type="pct"/>
        <w:jc w:val="center"/>
        <w:tblCellSpacing w:w="0" w:type="dxa"/>
        <w:tblInd w:w="-1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560"/>
        <w:gridCol w:w="5550"/>
      </w:tblGrid>
      <w:tr w:rsidR="00182CDE" w:rsidRPr="00176A13" w:rsidTr="007D6BE8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b/>
                <w:bCs/>
                <w:szCs w:val="24"/>
              </w:rPr>
              <w:t>Descripción del Indicador</w:t>
            </w:r>
          </w:p>
        </w:tc>
      </w:tr>
      <w:tr w:rsidR="00182CDE" w:rsidRPr="00176A13" w:rsidTr="007D6BE8">
        <w:trPr>
          <w:trHeight w:val="625"/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Nombre del indicador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Desaprovisionamiento - Oportunidad en la ejecución del proceso TMD</w:t>
            </w:r>
          </w:p>
        </w:tc>
      </w:tr>
      <w:tr w:rsidR="00182CDE" w:rsidRPr="00176A13" w:rsidTr="007D6BE8">
        <w:trPr>
          <w:trHeight w:val="654"/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Descripción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Mide el tiempo promedio para el desaprovisionamiento de servicios estándar</w:t>
            </w:r>
          </w:p>
        </w:tc>
      </w:tr>
      <w:tr w:rsidR="00182CDE" w:rsidRPr="00176A13" w:rsidTr="007D6BE8">
        <w:trPr>
          <w:trHeight w:val="410"/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Tipo de indicador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Eficacia</w:t>
            </w:r>
          </w:p>
        </w:tc>
      </w:tr>
      <w:tr w:rsidR="00182CDE" w:rsidRPr="00176A13" w:rsidTr="007D6BE8">
        <w:trPr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Objetivo estratégico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Garantizar la efectividad empresarial, Garantizar la estructura de costos acorde con el modelo de negocio, Satisfacer los clientes</w:t>
            </w:r>
          </w:p>
        </w:tc>
      </w:tr>
      <w:tr w:rsidR="00182CDE" w:rsidRPr="00176A13" w:rsidTr="007D6BE8">
        <w:trPr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Nombre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Aprovisionamiento</w:t>
            </w:r>
          </w:p>
        </w:tc>
      </w:tr>
      <w:tr w:rsidR="00182CDE" w:rsidRPr="00176A13" w:rsidTr="007D6BE8">
        <w:trPr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Fórmula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((Tiempo transcurrido entre la fecha de ingreso hasta la fecha de desaprovisionamiento del producto o servicio - el tiempo que sea imputable a los clientes)/ Número de productos desaprovisionados)</w:t>
            </w:r>
          </w:p>
        </w:tc>
      </w:tr>
      <w:tr w:rsidR="00182CDE" w:rsidRPr="00176A13" w:rsidTr="007D6BE8">
        <w:trPr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Fuente de información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Fénix Bogotá, Sistema de información: Fénix, Elite</w:t>
            </w:r>
          </w:p>
        </w:tc>
      </w:tr>
      <w:tr w:rsidR="00182CDE" w:rsidRPr="00176A13" w:rsidTr="007D6BE8">
        <w:trPr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Meta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4 días</w:t>
            </w:r>
          </w:p>
        </w:tc>
      </w:tr>
      <w:tr w:rsidR="00182CDE" w:rsidRPr="00176A13" w:rsidTr="007D6BE8">
        <w:trPr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Rango mínimo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1 día</w:t>
            </w:r>
          </w:p>
        </w:tc>
      </w:tr>
      <w:tr w:rsidR="00182CDE" w:rsidRPr="00176A13" w:rsidTr="007D6BE8">
        <w:trPr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Rango máximo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15 días</w:t>
            </w:r>
          </w:p>
        </w:tc>
      </w:tr>
      <w:tr w:rsidR="00182CDE" w:rsidRPr="00176A13" w:rsidTr="007D6BE8">
        <w:trPr>
          <w:trHeight w:val="288"/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Unidad de medida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Días</w:t>
            </w:r>
          </w:p>
        </w:tc>
      </w:tr>
      <w:tr w:rsidR="00182CDE" w:rsidRPr="00176A13" w:rsidTr="007D6BE8">
        <w:trPr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Frecuencia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Mensual</w:t>
            </w:r>
          </w:p>
        </w:tc>
      </w:tr>
      <w:tr w:rsidR="00182CDE" w:rsidRPr="00176A13" w:rsidTr="007D6BE8">
        <w:trPr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Responsable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B314D8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hAnsi="Times New Roman"/>
                <w:szCs w:val="24"/>
              </w:rPr>
              <w:t>Área</w:t>
            </w:r>
            <w:r w:rsidR="00182CDE" w:rsidRPr="00176A13">
              <w:rPr>
                <w:rFonts w:ascii="Times New Roman" w:eastAsia="Calibri" w:hAnsi="Times New Roman" w:cs="Times New Roman"/>
                <w:szCs w:val="24"/>
              </w:rPr>
              <w:t xml:space="preserve"> Operación Cliente Regional, Subgerencia Regional</w:t>
            </w:r>
          </w:p>
        </w:tc>
      </w:tr>
      <w:tr w:rsidR="00182CDE" w:rsidRPr="00176A13" w:rsidTr="007D6BE8">
        <w:trPr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Observaciones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El indicador se mide por regional y por departamento</w:t>
            </w:r>
          </w:p>
        </w:tc>
      </w:tr>
      <w:tr w:rsidR="00182CDE" w:rsidRPr="00176A13" w:rsidTr="007D6BE8">
        <w:trPr>
          <w:tblCellSpacing w:w="0" w:type="dxa"/>
          <w:jc w:val="center"/>
        </w:trPr>
        <w:tc>
          <w:tcPr>
            <w:tcW w:w="1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Características</w:t>
            </w:r>
          </w:p>
        </w:tc>
        <w:tc>
          <w:tcPr>
            <w:tcW w:w="3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2CDE" w:rsidRPr="00176A13" w:rsidRDefault="00182CDE" w:rsidP="007D6BE8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76A13">
              <w:rPr>
                <w:rFonts w:ascii="Times New Roman" w:eastAsia="Calibri" w:hAnsi="Times New Roman" w:cs="Times New Roman"/>
                <w:szCs w:val="24"/>
              </w:rPr>
              <w:t>Oportunidad</w:t>
            </w:r>
          </w:p>
        </w:tc>
      </w:tr>
    </w:tbl>
    <w:p w:rsidR="00182CDE" w:rsidRPr="00A37949" w:rsidRDefault="00182CDE" w:rsidP="004B638B">
      <w:pPr>
        <w:jc w:val="both"/>
        <w:rPr>
          <w:sz w:val="24"/>
          <w:szCs w:val="24"/>
        </w:rPr>
      </w:pPr>
    </w:p>
    <w:p w:rsidR="004A689D" w:rsidRDefault="004B5DC4" w:rsidP="004B5DC4">
      <w:pPr>
        <w:pStyle w:val="Ttulo2"/>
      </w:pPr>
      <w:bookmarkStart w:id="14" w:name="_Toc454460405"/>
      <w:r>
        <w:t>TMD</w:t>
      </w:r>
      <w:bookmarkEnd w:id="14"/>
    </w:p>
    <w:p w:rsidR="004B5DC4" w:rsidRDefault="009A7C16" w:rsidP="004B63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Acorde con la explicación inmediatamente ofrecida se menciona cómo se efectúa la captación de la información, su transformación y </w:t>
      </w:r>
      <w:r w:rsidR="00DE5AC0">
        <w:rPr>
          <w:sz w:val="24"/>
          <w:szCs w:val="24"/>
        </w:rPr>
        <w:t xml:space="preserve">la </w:t>
      </w:r>
      <w:r>
        <w:rPr>
          <w:sz w:val="24"/>
          <w:szCs w:val="24"/>
        </w:rPr>
        <w:t>obtención de resultados.</w:t>
      </w:r>
    </w:p>
    <w:p w:rsidR="00DE5AC0" w:rsidRDefault="00DE5AC0" w:rsidP="00DE5AC0">
      <w:pPr>
        <w:jc w:val="both"/>
        <w:rPr>
          <w:sz w:val="24"/>
          <w:szCs w:val="24"/>
        </w:rPr>
      </w:pPr>
      <w:r w:rsidRPr="00DE5AC0">
        <w:rPr>
          <w:b/>
          <w:sz w:val="24"/>
          <w:szCs w:val="24"/>
        </w:rPr>
        <w:t>Fuente</w:t>
      </w:r>
      <w:r>
        <w:rPr>
          <w:sz w:val="24"/>
          <w:szCs w:val="24"/>
        </w:rPr>
        <w:t xml:space="preserve"> de datos es GI, se accede al portal de información según la siguiente ruta: UNETE – Micrositios – Otros micrositios – Gestión de la información – </w:t>
      </w:r>
      <w:r w:rsidRPr="00DE5AC0">
        <w:rPr>
          <w:sz w:val="24"/>
          <w:szCs w:val="24"/>
        </w:rPr>
        <w:t>Informes generales.</w:t>
      </w:r>
    </w:p>
    <w:p w:rsidR="00DE260F" w:rsidRDefault="007C1CBF" w:rsidP="00DE5AC0">
      <w:pPr>
        <w:jc w:val="both"/>
        <w:rPr>
          <w:sz w:val="24"/>
          <w:szCs w:val="24"/>
        </w:rPr>
      </w:pPr>
      <w:hyperlink r:id="rId13" w:history="1">
        <w:r w:rsidR="00DE260F" w:rsidRPr="00FF7A9F">
          <w:rPr>
            <w:rStyle w:val="Hipervnculo"/>
            <w:sz w:val="24"/>
            <w:szCs w:val="24"/>
          </w:rPr>
          <w:t>http://webapp/portalgi/8_ans/disponibles/listainformes.php</w:t>
        </w:r>
      </w:hyperlink>
    </w:p>
    <w:p w:rsidR="00E9743F" w:rsidRDefault="009B43C0" w:rsidP="00DE5AC0">
      <w:pPr>
        <w:jc w:val="both"/>
        <w:rPr>
          <w:sz w:val="24"/>
          <w:szCs w:val="24"/>
        </w:rPr>
      </w:pPr>
      <w:r>
        <w:rPr>
          <w:sz w:val="24"/>
          <w:szCs w:val="24"/>
        </w:rPr>
        <w:t>El</w:t>
      </w:r>
      <w:r w:rsidR="00E9743F">
        <w:rPr>
          <w:sz w:val="24"/>
          <w:szCs w:val="24"/>
        </w:rPr>
        <w:t xml:space="preserve"> funcionario actual encargado de mantener la información actualizada es </w:t>
      </w:r>
      <w:r w:rsidR="00E9743F" w:rsidRPr="00E9743F">
        <w:rPr>
          <w:sz w:val="24"/>
          <w:szCs w:val="24"/>
        </w:rPr>
        <w:t>Yair Chaverra Agualimpia</w:t>
      </w:r>
      <w:r>
        <w:rPr>
          <w:rStyle w:val="Refdenotaalpie"/>
          <w:sz w:val="24"/>
          <w:szCs w:val="24"/>
        </w:rPr>
        <w:footnoteReference w:id="1"/>
      </w:r>
      <w:r w:rsidR="00E9743F">
        <w:rPr>
          <w:sz w:val="24"/>
          <w:szCs w:val="24"/>
        </w:rPr>
        <w:t xml:space="preserve"> (</w:t>
      </w:r>
      <w:r w:rsidR="00A548C6">
        <w:rPr>
          <w:sz w:val="24"/>
          <w:szCs w:val="24"/>
        </w:rPr>
        <w:t xml:space="preserve">teléfono: </w:t>
      </w:r>
      <w:r w:rsidR="00E9743F" w:rsidRPr="00E9743F">
        <w:rPr>
          <w:sz w:val="24"/>
          <w:szCs w:val="24"/>
        </w:rPr>
        <w:t>5155069</w:t>
      </w:r>
      <w:r w:rsidR="00E9743F">
        <w:rPr>
          <w:sz w:val="24"/>
          <w:szCs w:val="24"/>
        </w:rPr>
        <w:t>).</w:t>
      </w:r>
    </w:p>
    <w:p w:rsidR="00DE5AC0" w:rsidRDefault="00DE5AC0" w:rsidP="00DE5A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allí se abre el archivo </w:t>
      </w:r>
      <w:r w:rsidRPr="00F842B0">
        <w:rPr>
          <w:b/>
          <w:sz w:val="24"/>
          <w:szCs w:val="24"/>
        </w:rPr>
        <w:t xml:space="preserve">2016_Cumplidos </w:t>
      </w:r>
      <w:proofErr w:type="spellStart"/>
      <w:r w:rsidRPr="00F842B0">
        <w:rPr>
          <w:b/>
          <w:sz w:val="24"/>
          <w:szCs w:val="24"/>
        </w:rPr>
        <w:t>Fenix</w:t>
      </w:r>
      <w:proofErr w:type="spellEnd"/>
      <w:r w:rsidRPr="00F842B0">
        <w:rPr>
          <w:b/>
          <w:sz w:val="24"/>
          <w:szCs w:val="24"/>
        </w:rPr>
        <w:t xml:space="preserve"> Confi.xlsx</w:t>
      </w:r>
    </w:p>
    <w:p w:rsidR="00DE5AC0" w:rsidRDefault="00DE5AC0" w:rsidP="00DE5AC0">
      <w:pPr>
        <w:jc w:val="both"/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1415894"/>
            <wp:effectExtent l="19050" t="0" r="7620" b="0"/>
            <wp:docPr id="2" name="Imagen 2" descr="cid:image003.jpg@01D1747A.ABD79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1747A.ABD7970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1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C0" w:rsidRDefault="00DE260F" w:rsidP="00DE5AC0">
      <w:pPr>
        <w:jc w:val="both"/>
        <w:rPr>
          <w:sz w:val="24"/>
          <w:szCs w:val="24"/>
        </w:rPr>
      </w:pPr>
      <w:r>
        <w:rPr>
          <w:sz w:val="24"/>
          <w:szCs w:val="24"/>
        </w:rPr>
        <w:t>Dicho archivo se guarda y sobre el mismo se trabaja, se efectúan los siguientes pasos:</w:t>
      </w:r>
    </w:p>
    <w:p w:rsidR="00DE260F" w:rsidRDefault="00DE260F" w:rsidP="00DE5AC0">
      <w:pPr>
        <w:jc w:val="both"/>
        <w:rPr>
          <w:sz w:val="24"/>
          <w:szCs w:val="24"/>
        </w:rPr>
      </w:pPr>
      <w:r>
        <w:rPr>
          <w:sz w:val="24"/>
          <w:szCs w:val="24"/>
        </w:rPr>
        <w:t>Extracción del detalle del mes a evaluar</w:t>
      </w:r>
      <w:r w:rsidR="009B43C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Se copia la información en la hoja del archivo de TMD del Equipo de Activación y Desactivación en Plataformas, se </w:t>
      </w:r>
      <w:r w:rsidR="008946E9">
        <w:rPr>
          <w:sz w:val="24"/>
          <w:szCs w:val="24"/>
        </w:rPr>
        <w:t>omiten los actores diferentes, se identifica el responsable de la cola.</w:t>
      </w:r>
    </w:p>
    <w:p w:rsidR="00C66501" w:rsidRDefault="00C66501" w:rsidP="00DE5A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colas que no se tienen en cuenta son 44 y el volumen de datos excluidos (reportes) corresponden al 5% del total que por lo general presentan tiempos muy altos (aprox. 74% del tiempo total) y las colas de mayor impacto son </w:t>
      </w:r>
      <w:r w:rsidRPr="00C66501">
        <w:rPr>
          <w:sz w:val="24"/>
          <w:szCs w:val="24"/>
        </w:rPr>
        <w:t>CAR-TVSU y TV-SUS</w:t>
      </w:r>
      <w:r>
        <w:rPr>
          <w:sz w:val="24"/>
          <w:szCs w:val="24"/>
        </w:rPr>
        <w:t xml:space="preserve"> que pertenecen a otra dependencia.</w:t>
      </w:r>
    </w:p>
    <w:p w:rsidR="00DC45ED" w:rsidRDefault="007C1CBF" w:rsidP="00DE5AC0">
      <w:pPr>
        <w:jc w:val="both"/>
        <w:rPr>
          <w:sz w:val="24"/>
          <w:szCs w:val="24"/>
        </w:rPr>
      </w:pPr>
      <w:r w:rsidRPr="007C1CBF">
        <w:rPr>
          <w:noProof/>
          <w:sz w:val="24"/>
          <w:szCs w:val="24"/>
          <w:lang w:val="es-ES"/>
        </w:rPr>
        <w:pict>
          <v:shape id="_x0000_s1026" type="#_x0000_t202" style="position:absolute;left:0;text-align:left;margin-left:198.7pt;margin-top:3.05pt;width:224.2pt;height:82.25pt;z-index:251660288;mso-width-relative:margin;mso-height-relative:margin" strokecolor="#ffc000">
            <v:textbox>
              <w:txbxContent>
                <w:p w:rsidR="008946E9" w:rsidRPr="008946E9" w:rsidRDefault="008946E9" w:rsidP="008946E9">
                  <w:pPr>
                    <w:jc w:val="both"/>
                    <w:rPr>
                      <w:b/>
                      <w:color w:val="4F81BD" w:themeColor="accent1"/>
                      <w:lang w:val="es-ES"/>
                    </w:rPr>
                  </w:pPr>
                  <w:r w:rsidRPr="008946E9">
                    <w:rPr>
                      <w:b/>
                      <w:color w:val="4F81BD" w:themeColor="accent1"/>
                      <w:lang w:val="es-ES"/>
                    </w:rPr>
                    <w:t>Aviso importante</w:t>
                  </w:r>
                  <w:r>
                    <w:rPr>
                      <w:b/>
                      <w:color w:val="4F81BD" w:themeColor="accent1"/>
                      <w:lang w:val="es-ES"/>
                    </w:rPr>
                    <w:t>:</w:t>
                  </w:r>
                </w:p>
                <w:p w:rsidR="008946E9" w:rsidRPr="008946E9" w:rsidRDefault="008946E9" w:rsidP="008946E9">
                  <w:pPr>
                    <w:jc w:val="both"/>
                    <w:rPr>
                      <w:color w:val="4F81BD" w:themeColor="accent1"/>
                      <w:lang w:val="es-ES"/>
                    </w:rPr>
                  </w:pPr>
                  <w:r w:rsidRPr="008946E9">
                    <w:rPr>
                      <w:color w:val="4F81BD" w:themeColor="accent1"/>
                      <w:lang w:val="es-ES"/>
                    </w:rPr>
                    <w:t xml:space="preserve">Para </w:t>
                  </w:r>
                  <w:r w:rsidR="009C537E">
                    <w:rPr>
                      <w:color w:val="4F81BD" w:themeColor="accent1"/>
                      <w:lang w:val="es-ES"/>
                    </w:rPr>
                    <w:t>n</w:t>
                  </w:r>
                  <w:r w:rsidRPr="008946E9">
                    <w:rPr>
                      <w:color w:val="4F81BD" w:themeColor="accent1"/>
                      <w:lang w:val="es-ES"/>
                    </w:rPr>
                    <w:t xml:space="preserve">uevos y traslados no tenemos control porque compartimos responsabilidad con </w:t>
                  </w:r>
                  <w:r w:rsidR="009C537E">
                    <w:rPr>
                      <w:color w:val="4F81BD" w:themeColor="accent1"/>
                      <w:lang w:val="es-ES"/>
                    </w:rPr>
                    <w:t>Terreno</w:t>
                  </w:r>
                  <w:r w:rsidRPr="008946E9">
                    <w:rPr>
                      <w:color w:val="4F81BD" w:themeColor="accent1"/>
                      <w:lang w:val="es-ES"/>
                    </w:rPr>
                    <w:t xml:space="preserve"> y </w:t>
                  </w:r>
                  <w:r w:rsidR="009C537E">
                    <w:rPr>
                      <w:color w:val="4F81BD" w:themeColor="accent1"/>
                      <w:lang w:val="es-ES"/>
                    </w:rPr>
                    <w:t>M</w:t>
                  </w:r>
                  <w:r w:rsidRPr="008946E9">
                    <w:rPr>
                      <w:color w:val="4F81BD" w:themeColor="accent1"/>
                      <w:lang w:val="es-ES"/>
                    </w:rPr>
                    <w:t>esa de ayuda.</w:t>
                  </w:r>
                </w:p>
              </w:txbxContent>
            </v:textbox>
          </v:shape>
        </w:pict>
      </w:r>
      <w:r w:rsidR="0011723B">
        <w:rPr>
          <w:sz w:val="24"/>
          <w:szCs w:val="24"/>
        </w:rPr>
        <w:t xml:space="preserve">La medición aplica </w:t>
      </w:r>
      <w:r w:rsidR="00DC45ED">
        <w:rPr>
          <w:sz w:val="24"/>
          <w:szCs w:val="24"/>
        </w:rPr>
        <w:t>de manera mensual</w:t>
      </w:r>
      <w:r w:rsidR="00C42807">
        <w:rPr>
          <w:sz w:val="24"/>
          <w:szCs w:val="24"/>
        </w:rPr>
        <w:t>.</w:t>
      </w:r>
      <w:r w:rsidR="00DC45ED">
        <w:rPr>
          <w:sz w:val="24"/>
          <w:szCs w:val="24"/>
        </w:rPr>
        <w:t xml:space="preserve"> </w:t>
      </w:r>
    </w:p>
    <w:p w:rsidR="0011723B" w:rsidRDefault="00DC45ED" w:rsidP="00DE5AC0">
      <w:pPr>
        <w:jc w:val="both"/>
        <w:rPr>
          <w:sz w:val="24"/>
          <w:szCs w:val="24"/>
        </w:rPr>
      </w:pPr>
      <w:r>
        <w:rPr>
          <w:sz w:val="24"/>
          <w:szCs w:val="24"/>
        </w:rPr>
        <w:t>Para</w:t>
      </w:r>
      <w:r w:rsidR="0011723B">
        <w:rPr>
          <w:sz w:val="24"/>
          <w:szCs w:val="24"/>
        </w:rPr>
        <w:t xml:space="preserve"> los tipos trabajos: </w:t>
      </w:r>
    </w:p>
    <w:p w:rsidR="0011723B" w:rsidRDefault="0011723B" w:rsidP="00DE5AC0">
      <w:pPr>
        <w:jc w:val="both"/>
        <w:rPr>
          <w:sz w:val="24"/>
          <w:szCs w:val="24"/>
        </w:rPr>
      </w:pPr>
      <w:r>
        <w:rPr>
          <w:sz w:val="24"/>
          <w:szCs w:val="24"/>
        </w:rPr>
        <w:t>RETIR, SUSPE y RECON.</w:t>
      </w:r>
    </w:p>
    <w:p w:rsidR="008946E9" w:rsidRDefault="008946E9" w:rsidP="00DE5AC0">
      <w:pPr>
        <w:jc w:val="both"/>
        <w:rPr>
          <w:sz w:val="24"/>
          <w:szCs w:val="24"/>
        </w:rPr>
      </w:pPr>
    </w:p>
    <w:p w:rsidR="008946E9" w:rsidRDefault="009C64AC" w:rsidP="00DE5AC0">
      <w:pPr>
        <w:jc w:val="both"/>
        <w:rPr>
          <w:sz w:val="24"/>
          <w:szCs w:val="24"/>
        </w:rPr>
      </w:pPr>
      <w:r>
        <w:rPr>
          <w:sz w:val="24"/>
          <w:szCs w:val="24"/>
        </w:rPr>
        <w:t>Los siguientes son los resultados obtenidos en 2016</w:t>
      </w:r>
      <w:r w:rsidR="00AB4523">
        <w:rPr>
          <w:sz w:val="24"/>
          <w:szCs w:val="24"/>
        </w:rPr>
        <w:t>:</w:t>
      </w:r>
    </w:p>
    <w:tbl>
      <w:tblPr>
        <w:tblW w:w="56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200"/>
        <w:gridCol w:w="1460"/>
        <w:gridCol w:w="1460"/>
        <w:gridCol w:w="1480"/>
      </w:tblGrid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REPORTES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TIEMPO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TMD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Enero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287.397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2.463.651,94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8,57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Febrero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269.042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2.625.952,85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9,76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Marzo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308.608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1.231.316,94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3,99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Abril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291.831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1.168.630,54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4,00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Mayo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284.155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1.030.216,68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3,63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1.441.033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8.519.768,96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3,63</w:t>
            </w:r>
          </w:p>
        </w:tc>
      </w:tr>
    </w:tbl>
    <w:p w:rsidR="00130367" w:rsidRDefault="00130367" w:rsidP="00DE5AC0">
      <w:pPr>
        <w:jc w:val="both"/>
        <w:rPr>
          <w:sz w:val="24"/>
          <w:szCs w:val="24"/>
        </w:rPr>
      </w:pPr>
    </w:p>
    <w:tbl>
      <w:tblPr>
        <w:tblW w:w="56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200"/>
        <w:gridCol w:w="1460"/>
        <w:gridCol w:w="1460"/>
        <w:gridCol w:w="1480"/>
      </w:tblGrid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REPORTES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TIEMPO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Retiros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Enero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96.125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2.201.782,65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22,91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Febrero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108.499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2.440.601,17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22,49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Marzo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111.829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880.266,18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7,87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Abril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113.895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925.980,24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8,13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Mayo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104.018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716.140,75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6,88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534.366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7.164.771,00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6,88</w:t>
            </w:r>
          </w:p>
        </w:tc>
      </w:tr>
    </w:tbl>
    <w:p w:rsidR="00130367" w:rsidRDefault="00130367" w:rsidP="00DE5AC0">
      <w:pPr>
        <w:jc w:val="both"/>
        <w:rPr>
          <w:sz w:val="24"/>
          <w:szCs w:val="24"/>
        </w:rPr>
      </w:pPr>
    </w:p>
    <w:tbl>
      <w:tblPr>
        <w:tblW w:w="56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200"/>
        <w:gridCol w:w="1460"/>
        <w:gridCol w:w="1460"/>
        <w:gridCol w:w="1480"/>
      </w:tblGrid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REPORTES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TIEMPO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Recon</w:t>
            </w:r>
            <w:proofErr w:type="spellEnd"/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Enero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75.684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103.850,75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1,37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Febrero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63.564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54.460,10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0,86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Marzo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80.063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125.704,16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1,57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Abril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70.512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73.230,69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1,04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Mayo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70.281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94.523,84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1,34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360.104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451.769,53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1,34</w:t>
            </w:r>
          </w:p>
        </w:tc>
      </w:tr>
    </w:tbl>
    <w:p w:rsidR="00130367" w:rsidRDefault="00130367" w:rsidP="00DE5AC0">
      <w:pPr>
        <w:jc w:val="both"/>
        <w:rPr>
          <w:sz w:val="24"/>
          <w:szCs w:val="24"/>
        </w:rPr>
      </w:pPr>
    </w:p>
    <w:tbl>
      <w:tblPr>
        <w:tblW w:w="56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200"/>
        <w:gridCol w:w="1460"/>
        <w:gridCol w:w="1460"/>
        <w:gridCol w:w="1480"/>
      </w:tblGrid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REPORTES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TIEMPO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Nuevo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Enero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195.733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5.617.660,58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28,70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Febrero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208.902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6.077.640,34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29,09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Marzo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196.921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7.010.491,34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35,60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Abril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203.534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7.221.257,06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35,48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Mayo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191.775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6.208.974,62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32,38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996.865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32.136.023,93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32,38</w:t>
            </w:r>
          </w:p>
        </w:tc>
      </w:tr>
    </w:tbl>
    <w:p w:rsidR="00130367" w:rsidRDefault="00130367" w:rsidP="00DE5AC0">
      <w:pPr>
        <w:jc w:val="both"/>
        <w:rPr>
          <w:sz w:val="24"/>
          <w:szCs w:val="24"/>
        </w:rPr>
      </w:pPr>
    </w:p>
    <w:tbl>
      <w:tblPr>
        <w:tblW w:w="56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200"/>
        <w:gridCol w:w="1460"/>
        <w:gridCol w:w="1460"/>
        <w:gridCol w:w="1480"/>
      </w:tblGrid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REPORTES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TIEMPO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Suspe</w:t>
            </w:r>
            <w:proofErr w:type="spellEnd"/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Enero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115.588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158.018,54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1,37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Febrero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96.979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130.891,59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1,35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Marzo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116.716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225.346,61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1,93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Abril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107.424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169.419,61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1,58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Mayo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109.856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219.552,09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color w:val="000000"/>
                <w:lang w:eastAsia="es-CO"/>
              </w:rPr>
              <w:t>2,00</w:t>
            </w:r>
          </w:p>
        </w:tc>
      </w:tr>
      <w:tr w:rsidR="00130367" w:rsidRPr="00130367" w:rsidTr="0013036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367" w:rsidRPr="00130367" w:rsidRDefault="00130367" w:rsidP="00130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546.563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903.228,42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367" w:rsidRPr="00130367" w:rsidRDefault="00130367" w:rsidP="00130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3036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2,00</w:t>
            </w:r>
          </w:p>
        </w:tc>
      </w:tr>
    </w:tbl>
    <w:p w:rsidR="00130367" w:rsidRDefault="00130367" w:rsidP="00DE5AC0">
      <w:pPr>
        <w:jc w:val="both"/>
        <w:rPr>
          <w:sz w:val="24"/>
          <w:szCs w:val="24"/>
        </w:rPr>
      </w:pPr>
    </w:p>
    <w:p w:rsidR="00C65DDC" w:rsidRDefault="007E1C9E" w:rsidP="00DE5AC0">
      <w:pPr>
        <w:jc w:val="both"/>
        <w:rPr>
          <w:sz w:val="24"/>
          <w:szCs w:val="24"/>
        </w:rPr>
      </w:pPr>
      <w:r>
        <w:rPr>
          <w:sz w:val="24"/>
          <w:szCs w:val="24"/>
        </w:rPr>
        <w:t>La meta del TMD es de 8 hora</w:t>
      </w:r>
      <w:r w:rsidR="006854DC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0360C2" w:rsidRDefault="00426566" w:rsidP="00426566">
      <w:pPr>
        <w:pStyle w:val="Ttulo1"/>
      </w:pPr>
      <w:bookmarkStart w:id="15" w:name="_Toc454460406"/>
      <w:r>
        <w:t>Controles</w:t>
      </w:r>
      <w:bookmarkEnd w:id="15"/>
    </w:p>
    <w:p w:rsidR="00426566" w:rsidRDefault="00426566" w:rsidP="004B638B">
      <w:pPr>
        <w:jc w:val="both"/>
        <w:rPr>
          <w:sz w:val="24"/>
          <w:szCs w:val="24"/>
        </w:rPr>
      </w:pPr>
      <w:r>
        <w:rPr>
          <w:sz w:val="24"/>
          <w:szCs w:val="24"/>
        </w:rPr>
        <w:t>Los siguientes son los controles establecidos:</w:t>
      </w:r>
    </w:p>
    <w:p w:rsidR="00426566" w:rsidRDefault="008A5AA9" w:rsidP="004B638B">
      <w:pPr>
        <w:jc w:val="both"/>
        <w:rPr>
          <w:sz w:val="24"/>
          <w:szCs w:val="24"/>
        </w:rPr>
      </w:pPr>
      <w:bookmarkStart w:id="16" w:name="_Toc454460407"/>
      <w:r w:rsidRPr="008A5AA9">
        <w:rPr>
          <w:rStyle w:val="Ttulo2Car"/>
        </w:rPr>
        <w:t>Página de monitoreo</w:t>
      </w:r>
      <w:bookmarkEnd w:id="16"/>
      <w:r>
        <w:rPr>
          <w:sz w:val="24"/>
          <w:szCs w:val="24"/>
        </w:rPr>
        <w:t xml:space="preserve"> y seguimiento en el gestor de Operaciones, que permite ver la cantidad de pedidos pendientes (Fénix) por cola, concepto y rango de tiempo, se actualiza cada 5 minutos.</w:t>
      </w:r>
    </w:p>
    <w:p w:rsidR="007B4FCE" w:rsidRDefault="007B4FCE" w:rsidP="004B638B">
      <w:pPr>
        <w:jc w:val="both"/>
        <w:rPr>
          <w:sz w:val="24"/>
          <w:szCs w:val="24"/>
        </w:rPr>
      </w:pPr>
      <w:r>
        <w:rPr>
          <w:sz w:val="24"/>
          <w:szCs w:val="24"/>
        </w:rPr>
        <w:t>Vista gráfica:</w:t>
      </w:r>
    </w:p>
    <w:p w:rsidR="008A5AA9" w:rsidRDefault="008A5AA9" w:rsidP="007B4FC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250339" cy="2171407"/>
            <wp:effectExtent l="19050" t="0" r="7461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4" cy="217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A9" w:rsidRDefault="00A0530E" w:rsidP="004B638B">
      <w:pPr>
        <w:jc w:val="both"/>
        <w:rPr>
          <w:sz w:val="24"/>
          <w:szCs w:val="24"/>
        </w:rPr>
      </w:pPr>
      <w:bookmarkStart w:id="17" w:name="_Toc454460408"/>
      <w:r w:rsidRPr="00A0530E">
        <w:rPr>
          <w:rStyle w:val="Ttulo2Car"/>
        </w:rPr>
        <w:t>Correo automático</w:t>
      </w:r>
      <w:bookmarkEnd w:id="17"/>
      <w:r w:rsidR="00B10D0E">
        <w:rPr>
          <w:sz w:val="24"/>
          <w:szCs w:val="24"/>
        </w:rPr>
        <w:t xml:space="preserve"> de alerta, </w:t>
      </w:r>
      <w:r>
        <w:rPr>
          <w:sz w:val="24"/>
          <w:szCs w:val="24"/>
        </w:rPr>
        <w:t xml:space="preserve">mediante esta herramienta se entrega al buzón de correo electrónico del funcionario los pendientes que tienen más de </w:t>
      </w:r>
      <w:r w:rsidR="00464777">
        <w:rPr>
          <w:sz w:val="24"/>
          <w:szCs w:val="24"/>
        </w:rPr>
        <w:t>7</w:t>
      </w:r>
      <w:r>
        <w:rPr>
          <w:sz w:val="24"/>
          <w:szCs w:val="24"/>
        </w:rPr>
        <w:t xml:space="preserve"> horas en el sistema, estos mensajes van direccionados con copia al supervisor de Emtelco.</w:t>
      </w:r>
    </w:p>
    <w:p w:rsidR="00A0530E" w:rsidRDefault="00DD1A1A" w:rsidP="007B4FC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319634" cy="2361537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894" cy="236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A1A" w:rsidRDefault="002A4B61" w:rsidP="004B638B">
      <w:pPr>
        <w:jc w:val="both"/>
        <w:rPr>
          <w:sz w:val="24"/>
          <w:szCs w:val="24"/>
        </w:rPr>
      </w:pPr>
      <w:bookmarkStart w:id="18" w:name="_Toc454460409"/>
      <w:r w:rsidRPr="002A4B61">
        <w:rPr>
          <w:rStyle w:val="Ttulo2Car"/>
        </w:rPr>
        <w:t>Informe de Amarillos</w:t>
      </w:r>
      <w:bookmarkEnd w:id="18"/>
      <w:r>
        <w:rPr>
          <w:sz w:val="24"/>
          <w:szCs w:val="24"/>
        </w:rPr>
        <w:t>, este informe lo genera GI y está ubicado en el Portal de Gestión de Información, registra el volumen de pedidos con cita que están próximos a cumplirse y están excepcionados, se actualiza 4 veces al día y es insumo del equipo para la gestión de estos pendientes.</w:t>
      </w:r>
      <w:r w:rsidR="00677F62">
        <w:rPr>
          <w:sz w:val="24"/>
          <w:szCs w:val="24"/>
        </w:rPr>
        <w:t xml:space="preserve"> La siguiente es la ruta para acceder al archivo:</w:t>
      </w:r>
    </w:p>
    <w:p w:rsidR="00677F62" w:rsidRDefault="00677F62" w:rsidP="004B638B">
      <w:pPr>
        <w:jc w:val="both"/>
        <w:rPr>
          <w:sz w:val="24"/>
          <w:szCs w:val="24"/>
        </w:rPr>
      </w:pPr>
      <w:r>
        <w:rPr>
          <w:sz w:val="24"/>
          <w:szCs w:val="24"/>
        </w:rPr>
        <w:t>UNETE – Micrositios – Otros micrositios – Operación efectiva – Capa Norte Pendientes Amarillos.</w:t>
      </w:r>
    </w:p>
    <w:p w:rsidR="00677F62" w:rsidRDefault="00F03F8C" w:rsidP="004B638B">
      <w:pPr>
        <w:jc w:val="both"/>
        <w:rPr>
          <w:sz w:val="24"/>
          <w:szCs w:val="24"/>
        </w:rPr>
      </w:pPr>
      <w:bookmarkStart w:id="19" w:name="_Toc454460410"/>
      <w:r w:rsidRPr="00F03F8C">
        <w:rPr>
          <w:rStyle w:val="Ttulo2Car"/>
        </w:rPr>
        <w:t>Actividades de Gestión</w:t>
      </w:r>
      <w:bookmarkEnd w:id="19"/>
      <w:r>
        <w:rPr>
          <w:sz w:val="24"/>
          <w:szCs w:val="24"/>
        </w:rPr>
        <w:t>, archivo diligenciado por cada funcionario en el que dejan constancia de todas las actividades (cuantificadas) realizadas en la jornada. Permite hacer seguimiento de los volúmenes de eventos.</w:t>
      </w:r>
    </w:p>
    <w:p w:rsidR="00F03F8C" w:rsidRDefault="00F03F8C" w:rsidP="008271B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3873260" cy="1755673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382" cy="175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FED" w:rsidRDefault="007351D4" w:rsidP="007351D4">
      <w:pPr>
        <w:pStyle w:val="Ttulo1"/>
      </w:pPr>
      <w:bookmarkStart w:id="20" w:name="_Toc454460411"/>
      <w:r>
        <w:t xml:space="preserve">Acciones 1° </w:t>
      </w:r>
      <w:r w:rsidR="003F4879">
        <w:t>Semestre</w:t>
      </w:r>
      <w:bookmarkEnd w:id="20"/>
    </w:p>
    <w:p w:rsidR="007351D4" w:rsidRDefault="007351D4" w:rsidP="004B638B">
      <w:pPr>
        <w:jc w:val="both"/>
        <w:rPr>
          <w:sz w:val="24"/>
          <w:szCs w:val="24"/>
        </w:rPr>
      </w:pPr>
      <w:r>
        <w:rPr>
          <w:sz w:val="24"/>
          <w:szCs w:val="24"/>
        </w:rPr>
        <w:t>Las siguientes son los hitos más destacados ocurridos en el primer trimestre del año.</w:t>
      </w:r>
    </w:p>
    <w:p w:rsidR="00A82DF1" w:rsidRDefault="00A82DF1" w:rsidP="00A82DF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82DF1">
        <w:rPr>
          <w:sz w:val="24"/>
          <w:szCs w:val="24"/>
        </w:rPr>
        <w:t>Evaluación estratégica del equipo (Matriz DOFA)</w:t>
      </w:r>
      <w:r w:rsidR="00D05897">
        <w:rPr>
          <w:sz w:val="24"/>
          <w:szCs w:val="24"/>
        </w:rPr>
        <w:t xml:space="preserve"> que permitió identificar las fortalezas, oportunidades</w:t>
      </w:r>
      <w:r w:rsidR="00F307BC">
        <w:rPr>
          <w:sz w:val="24"/>
          <w:szCs w:val="24"/>
        </w:rPr>
        <w:t>, debilidades</w:t>
      </w:r>
      <w:r w:rsidR="00D05897">
        <w:rPr>
          <w:sz w:val="24"/>
          <w:szCs w:val="24"/>
        </w:rPr>
        <w:t xml:space="preserve"> y amenazas, con lo cual se fortaleció el equipo y mejoró el clima laboral.</w:t>
      </w:r>
    </w:p>
    <w:p w:rsidR="00D05897" w:rsidRPr="00A82DF1" w:rsidRDefault="00D05897" w:rsidP="00D05897">
      <w:pPr>
        <w:pStyle w:val="Prrafodelista"/>
        <w:jc w:val="both"/>
        <w:rPr>
          <w:sz w:val="24"/>
          <w:szCs w:val="24"/>
        </w:rPr>
      </w:pPr>
    </w:p>
    <w:p w:rsidR="004A38CA" w:rsidRDefault="00A82DF1" w:rsidP="00A82DF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82DF1">
        <w:rPr>
          <w:sz w:val="24"/>
          <w:szCs w:val="24"/>
        </w:rPr>
        <w:t xml:space="preserve">Incremento del TMD </w:t>
      </w:r>
      <w:r w:rsidR="004A38CA">
        <w:rPr>
          <w:sz w:val="24"/>
          <w:szCs w:val="24"/>
        </w:rPr>
        <w:t xml:space="preserve">en enero y febrero se originó </w:t>
      </w:r>
      <w:r w:rsidRPr="00A82DF1">
        <w:rPr>
          <w:sz w:val="24"/>
          <w:szCs w:val="24"/>
        </w:rPr>
        <w:t>por disminución de recurso</w:t>
      </w:r>
      <w:r>
        <w:rPr>
          <w:sz w:val="24"/>
          <w:szCs w:val="24"/>
        </w:rPr>
        <w:t>s</w:t>
      </w:r>
      <w:r w:rsidRPr="00A82DF1">
        <w:rPr>
          <w:sz w:val="24"/>
          <w:szCs w:val="24"/>
        </w:rPr>
        <w:t xml:space="preserve"> los sábados</w:t>
      </w:r>
      <w:r w:rsidR="004A38CA">
        <w:rPr>
          <w:sz w:val="24"/>
          <w:szCs w:val="24"/>
        </w:rPr>
        <w:t xml:space="preserve"> que se implementó para disminuir las horas extras</w:t>
      </w:r>
      <w:r w:rsidRPr="00A82DF1">
        <w:rPr>
          <w:sz w:val="24"/>
          <w:szCs w:val="24"/>
        </w:rPr>
        <w:t xml:space="preserve">. Se </w:t>
      </w:r>
      <w:r w:rsidR="004A38CA">
        <w:rPr>
          <w:sz w:val="24"/>
          <w:szCs w:val="24"/>
        </w:rPr>
        <w:t>analizó</w:t>
      </w:r>
      <w:r w:rsidRPr="00A82DF1">
        <w:rPr>
          <w:sz w:val="24"/>
          <w:szCs w:val="24"/>
        </w:rPr>
        <w:t xml:space="preserve"> un nuevo esquema de turnos que garanti</w:t>
      </w:r>
      <w:r w:rsidR="004A38CA">
        <w:rPr>
          <w:sz w:val="24"/>
          <w:szCs w:val="24"/>
        </w:rPr>
        <w:t>zó</w:t>
      </w:r>
      <w:r w:rsidRPr="00A82DF1">
        <w:rPr>
          <w:sz w:val="24"/>
          <w:szCs w:val="24"/>
        </w:rPr>
        <w:t xml:space="preserve"> 4 funcionarios en sábado.</w:t>
      </w:r>
      <w:r>
        <w:rPr>
          <w:sz w:val="24"/>
          <w:szCs w:val="24"/>
        </w:rPr>
        <w:t xml:space="preserve"> </w:t>
      </w:r>
    </w:p>
    <w:p w:rsidR="004A38CA" w:rsidRDefault="004A38CA" w:rsidP="004A38CA">
      <w:pPr>
        <w:pStyle w:val="Prrafodelista"/>
        <w:jc w:val="both"/>
        <w:rPr>
          <w:sz w:val="24"/>
          <w:szCs w:val="24"/>
        </w:rPr>
      </w:pPr>
    </w:p>
    <w:p w:rsidR="00A82DF1" w:rsidRDefault="00A82DF1" w:rsidP="004A38CA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Se identific</w:t>
      </w:r>
      <w:r w:rsidR="004A38CA">
        <w:rPr>
          <w:sz w:val="24"/>
          <w:szCs w:val="24"/>
        </w:rPr>
        <w:t>ó</w:t>
      </w:r>
      <w:r>
        <w:rPr>
          <w:sz w:val="24"/>
          <w:szCs w:val="24"/>
        </w:rPr>
        <w:t xml:space="preserve"> que el esquema de polifuncionalidad no aplica dado que existen en el mismo equipo cargos diferentes y por restricciones contractuales no es debido que funcionarios de diferentes cargos realicen actividades iguales (gestión de la misma cola).</w:t>
      </w:r>
    </w:p>
    <w:p w:rsidR="00A82DF1" w:rsidRDefault="00A82DF1" w:rsidP="00A82DF1">
      <w:pPr>
        <w:pStyle w:val="Prrafodelista"/>
        <w:jc w:val="both"/>
        <w:rPr>
          <w:sz w:val="24"/>
          <w:szCs w:val="24"/>
        </w:rPr>
      </w:pPr>
    </w:p>
    <w:p w:rsidR="00A82DF1" w:rsidRDefault="00A82DF1" w:rsidP="00A82DF1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A mediados de febrero se activa un nuevo esquema de turnos. El impacto se verá en marzo.</w:t>
      </w:r>
    </w:p>
    <w:p w:rsidR="00A82DF1" w:rsidRPr="00A82DF1" w:rsidRDefault="00A82DF1" w:rsidP="00A82DF1">
      <w:pPr>
        <w:pStyle w:val="Prrafodelista"/>
        <w:jc w:val="both"/>
        <w:rPr>
          <w:sz w:val="24"/>
          <w:szCs w:val="24"/>
        </w:rPr>
      </w:pPr>
    </w:p>
    <w:p w:rsidR="00A82DF1" w:rsidRDefault="00A82DF1" w:rsidP="00A82DF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82DF1">
        <w:rPr>
          <w:sz w:val="24"/>
          <w:szCs w:val="24"/>
        </w:rPr>
        <w:t>Control automático de pedidos &gt;</w:t>
      </w:r>
      <w:r>
        <w:rPr>
          <w:sz w:val="24"/>
          <w:szCs w:val="24"/>
        </w:rPr>
        <w:t>7</w:t>
      </w:r>
      <w:r w:rsidRPr="00A82DF1">
        <w:rPr>
          <w:sz w:val="24"/>
          <w:szCs w:val="24"/>
        </w:rPr>
        <w:t xml:space="preserve"> horas encaminados a mejorar el TMD (correo automático). Feb</w:t>
      </w:r>
      <w:r>
        <w:rPr>
          <w:sz w:val="24"/>
          <w:szCs w:val="24"/>
        </w:rPr>
        <w:t>rero</w:t>
      </w:r>
      <w:r w:rsidRPr="00A82DF1">
        <w:rPr>
          <w:sz w:val="24"/>
          <w:szCs w:val="24"/>
        </w:rPr>
        <w:t xml:space="preserve"> 16.</w:t>
      </w:r>
      <w:r w:rsidR="004A38CA">
        <w:rPr>
          <w:sz w:val="24"/>
          <w:szCs w:val="24"/>
        </w:rPr>
        <w:t xml:space="preserve"> El impacto se verá reflejado en marzo.</w:t>
      </w:r>
    </w:p>
    <w:p w:rsidR="00D05897" w:rsidRPr="00A82DF1" w:rsidRDefault="00D05897" w:rsidP="00D05897">
      <w:pPr>
        <w:pStyle w:val="Prrafodelista"/>
        <w:jc w:val="both"/>
        <w:rPr>
          <w:sz w:val="24"/>
          <w:szCs w:val="24"/>
        </w:rPr>
      </w:pPr>
    </w:p>
    <w:p w:rsidR="00A82DF1" w:rsidRDefault="00A82DF1" w:rsidP="00A82DF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82DF1">
        <w:rPr>
          <w:sz w:val="24"/>
          <w:szCs w:val="24"/>
        </w:rPr>
        <w:t xml:space="preserve">Vinculación de una nueva persona al equipo Febrero </w:t>
      </w:r>
      <w:r w:rsidR="00115E06">
        <w:rPr>
          <w:sz w:val="24"/>
          <w:szCs w:val="24"/>
        </w:rPr>
        <w:t>17</w:t>
      </w:r>
      <w:r w:rsidRPr="00A82DF1">
        <w:rPr>
          <w:sz w:val="24"/>
          <w:szCs w:val="24"/>
        </w:rPr>
        <w:t xml:space="preserve"> (en reemplazo de José María Córdoba). Heber Ríos ingresa al equipo.</w:t>
      </w:r>
    </w:p>
    <w:p w:rsidR="00D05897" w:rsidRPr="00A82DF1" w:rsidRDefault="00D05897" w:rsidP="00D05897">
      <w:pPr>
        <w:pStyle w:val="Prrafodelista"/>
        <w:jc w:val="both"/>
        <w:rPr>
          <w:sz w:val="24"/>
          <w:szCs w:val="24"/>
        </w:rPr>
      </w:pPr>
    </w:p>
    <w:p w:rsidR="00A82DF1" w:rsidRDefault="00A82DF1" w:rsidP="00A82DF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82DF1">
        <w:rPr>
          <w:sz w:val="24"/>
          <w:szCs w:val="24"/>
        </w:rPr>
        <w:t>Promoción de un recurso a soporte de Nivel IV (enero)</w:t>
      </w:r>
      <w:r w:rsidR="00D05897">
        <w:rPr>
          <w:sz w:val="24"/>
          <w:szCs w:val="24"/>
        </w:rPr>
        <w:t>.</w:t>
      </w:r>
      <w:r w:rsidR="00A071B0">
        <w:rPr>
          <w:sz w:val="24"/>
          <w:szCs w:val="24"/>
        </w:rPr>
        <w:t xml:space="preserve"> Acorde a las funciones realizadas por el funcionario Leonardo Esteban Marín se homologa su cargo aprovechando el retiro de un funcionario (</w:t>
      </w:r>
      <w:r w:rsidR="00A071B0" w:rsidRPr="00A071B0">
        <w:rPr>
          <w:sz w:val="24"/>
          <w:szCs w:val="24"/>
        </w:rPr>
        <w:t>John Hadduarh Tabares</w:t>
      </w:r>
      <w:r w:rsidR="00A071B0">
        <w:rPr>
          <w:sz w:val="24"/>
          <w:szCs w:val="24"/>
        </w:rPr>
        <w:t>).</w:t>
      </w:r>
    </w:p>
    <w:p w:rsidR="00D05897" w:rsidRPr="00A82DF1" w:rsidRDefault="00D05897" w:rsidP="00D05897">
      <w:pPr>
        <w:pStyle w:val="Prrafodelista"/>
        <w:jc w:val="both"/>
        <w:rPr>
          <w:sz w:val="24"/>
          <w:szCs w:val="24"/>
        </w:rPr>
      </w:pPr>
    </w:p>
    <w:p w:rsidR="00A82DF1" w:rsidRDefault="00A82DF1" w:rsidP="00A82DF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82DF1">
        <w:rPr>
          <w:sz w:val="24"/>
          <w:szCs w:val="24"/>
        </w:rPr>
        <w:t>Entrega del proceso de Básica al recurso contratado (Febrero 8 al 12 entrega, feb-15 t</w:t>
      </w:r>
      <w:r w:rsidR="00D05897">
        <w:rPr>
          <w:sz w:val="24"/>
          <w:szCs w:val="24"/>
        </w:rPr>
        <w:t>raslado puestos; feb-16 inicio).</w:t>
      </w:r>
      <w:r w:rsidR="005C1D9D">
        <w:rPr>
          <w:sz w:val="24"/>
          <w:szCs w:val="24"/>
        </w:rPr>
        <w:t xml:space="preserve"> Dicho proceso estaba en manos de personal vinculado que por necesidad de la operación debía laborar sábados y festivos (7x24) generando constantes horas extras, por política de la compañía, este proceso se trasladó a personal contratado. El empalme se efectuó de manera exitosa.</w:t>
      </w:r>
    </w:p>
    <w:p w:rsidR="006378D6" w:rsidRDefault="006378D6" w:rsidP="006378D6">
      <w:pPr>
        <w:pStyle w:val="Prrafodelista"/>
        <w:jc w:val="both"/>
        <w:rPr>
          <w:sz w:val="24"/>
          <w:szCs w:val="24"/>
        </w:rPr>
      </w:pPr>
      <w:r w:rsidRPr="006378D6">
        <w:rPr>
          <w:noProof/>
          <w:sz w:val="24"/>
          <w:szCs w:val="24"/>
          <w:lang w:eastAsia="es-CO"/>
        </w:rPr>
        <w:drawing>
          <wp:inline distT="0" distB="0" distL="0" distR="0">
            <wp:extent cx="5165425" cy="2006809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80" cy="200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D6" w:rsidRDefault="006378D6" w:rsidP="006378D6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mejora realizad al proceso de CLIPS mejoró el tiempo de la actividad en un </w:t>
      </w:r>
      <w:r w:rsidRPr="00DC7FC2">
        <w:rPr>
          <w:b/>
          <w:sz w:val="24"/>
          <w:szCs w:val="24"/>
        </w:rPr>
        <w:t>72%</w:t>
      </w:r>
      <w:r>
        <w:rPr>
          <w:sz w:val="24"/>
          <w:szCs w:val="24"/>
        </w:rPr>
        <w:t>, se pasó de hacerlo en 1,48 horas a 0,34 horas.</w:t>
      </w:r>
    </w:p>
    <w:p w:rsidR="00D05897" w:rsidRDefault="00D05897" w:rsidP="00D05897">
      <w:pPr>
        <w:pStyle w:val="Prrafodelista"/>
        <w:jc w:val="both"/>
        <w:rPr>
          <w:sz w:val="24"/>
          <w:szCs w:val="24"/>
        </w:rPr>
      </w:pPr>
    </w:p>
    <w:p w:rsidR="006378D6" w:rsidRDefault="006378D6" w:rsidP="00D05897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El siguiente documento se levantó con la actividad y la mejora realizada.</w:t>
      </w:r>
    </w:p>
    <w:p w:rsidR="006378D6" w:rsidRDefault="006378D6" w:rsidP="00D05897">
      <w:pPr>
        <w:pStyle w:val="Prrafodelista"/>
        <w:jc w:val="both"/>
        <w:rPr>
          <w:sz w:val="24"/>
          <w:szCs w:val="24"/>
        </w:rPr>
      </w:pPr>
    </w:p>
    <w:bookmarkStart w:id="21" w:name="_MON_1521350270"/>
    <w:bookmarkEnd w:id="21"/>
    <w:p w:rsidR="006378D6" w:rsidRDefault="00650A16" w:rsidP="00D05897">
      <w:pPr>
        <w:pStyle w:val="Prrafodelista"/>
        <w:jc w:val="both"/>
        <w:rPr>
          <w:sz w:val="24"/>
          <w:szCs w:val="24"/>
        </w:rPr>
      </w:pPr>
      <w:r w:rsidRPr="002C508F">
        <w:rPr>
          <w:sz w:val="24"/>
          <w:szCs w:val="24"/>
        </w:rPr>
        <w:object w:dxaOrig="1551" w:dyaOrig="1004">
          <v:shape id="_x0000_i1025" type="#_x0000_t75" style="width:77.45pt;height:50.25pt" o:ole="">
            <v:imagedata r:id="rId20" o:title=""/>
          </v:shape>
          <o:OLEObject Type="Embed" ProgID="Word.Document.12" ShapeID="_x0000_i1025" DrawAspect="Icon" ObjectID="_1528202294" r:id="rId21">
            <o:FieldCodes>\s</o:FieldCodes>
          </o:OLEObject>
        </w:object>
      </w:r>
    </w:p>
    <w:p w:rsidR="006378D6" w:rsidRPr="00A82DF1" w:rsidRDefault="006378D6" w:rsidP="00D05897">
      <w:pPr>
        <w:pStyle w:val="Prrafodelista"/>
        <w:jc w:val="both"/>
        <w:rPr>
          <w:sz w:val="24"/>
          <w:szCs w:val="24"/>
        </w:rPr>
      </w:pPr>
    </w:p>
    <w:p w:rsidR="00A82DF1" w:rsidRDefault="00A82DF1" w:rsidP="00A82DF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82DF1">
        <w:rPr>
          <w:sz w:val="24"/>
          <w:szCs w:val="24"/>
        </w:rPr>
        <w:t>Auditoria (Feb-11) sobre portabilidad.</w:t>
      </w:r>
      <w:r w:rsidR="00D05897">
        <w:rPr>
          <w:sz w:val="24"/>
          <w:szCs w:val="24"/>
        </w:rPr>
        <w:t xml:space="preserve"> Nuestra participación puntual fue oportuna al proceso y no generó ninguna novedad ni inconformidad.</w:t>
      </w:r>
    </w:p>
    <w:p w:rsidR="00D05897" w:rsidRPr="00A82DF1" w:rsidRDefault="00D05897" w:rsidP="00D05897">
      <w:pPr>
        <w:pStyle w:val="Prrafodelista"/>
        <w:jc w:val="both"/>
        <w:rPr>
          <w:sz w:val="24"/>
          <w:szCs w:val="24"/>
        </w:rPr>
      </w:pPr>
    </w:p>
    <w:p w:rsidR="00A82DF1" w:rsidRDefault="00A82DF1" w:rsidP="00A82DF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82DF1">
        <w:rPr>
          <w:sz w:val="24"/>
          <w:szCs w:val="24"/>
        </w:rPr>
        <w:t>Integración EDATEL y ETP.</w:t>
      </w:r>
      <w:r>
        <w:rPr>
          <w:sz w:val="24"/>
          <w:szCs w:val="24"/>
        </w:rPr>
        <w:t xml:space="preserve"> Se adelanta la gestión de integración</w:t>
      </w:r>
      <w:r w:rsidR="00A071B0">
        <w:rPr>
          <w:sz w:val="24"/>
          <w:szCs w:val="24"/>
        </w:rPr>
        <w:t xml:space="preserve"> con la Gerencia de Alistamiento de operaciones</w:t>
      </w:r>
      <w:r>
        <w:rPr>
          <w:sz w:val="24"/>
          <w:szCs w:val="24"/>
        </w:rPr>
        <w:t>.</w:t>
      </w:r>
    </w:p>
    <w:p w:rsidR="00D05897" w:rsidRPr="00A82DF1" w:rsidRDefault="00D05897" w:rsidP="00D05897">
      <w:pPr>
        <w:pStyle w:val="Prrafodelista"/>
        <w:jc w:val="both"/>
        <w:rPr>
          <w:sz w:val="24"/>
          <w:szCs w:val="24"/>
        </w:rPr>
      </w:pPr>
    </w:p>
    <w:p w:rsidR="00A82DF1" w:rsidRDefault="00A82DF1" w:rsidP="00A82DF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82DF1">
        <w:rPr>
          <w:sz w:val="24"/>
          <w:szCs w:val="24"/>
        </w:rPr>
        <w:t>Implementación del Service Desk para escalamiento de casos de DTH y garantizar la trazabilidad de los eventos gestionados.</w:t>
      </w:r>
    </w:p>
    <w:p w:rsidR="008271B7" w:rsidRPr="008271B7" w:rsidRDefault="008271B7" w:rsidP="008271B7">
      <w:pPr>
        <w:pStyle w:val="Prrafodelista"/>
        <w:rPr>
          <w:sz w:val="24"/>
          <w:szCs w:val="24"/>
        </w:rPr>
      </w:pPr>
    </w:p>
    <w:p w:rsidR="008271B7" w:rsidRDefault="008271B7" w:rsidP="008271B7">
      <w:pPr>
        <w:pStyle w:val="Prrafodelista"/>
        <w:jc w:val="both"/>
        <w:rPr>
          <w:sz w:val="24"/>
          <w:szCs w:val="24"/>
        </w:rPr>
      </w:pPr>
    </w:p>
    <w:p w:rsidR="007351D4" w:rsidRDefault="00A82DF1" w:rsidP="00A82DF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82DF1">
        <w:rPr>
          <w:sz w:val="24"/>
          <w:szCs w:val="24"/>
        </w:rPr>
        <w:t xml:space="preserve">Inicio </w:t>
      </w:r>
      <w:r>
        <w:rPr>
          <w:sz w:val="24"/>
          <w:szCs w:val="24"/>
        </w:rPr>
        <w:t>el 20 de</w:t>
      </w:r>
      <w:r w:rsidRPr="00A82DF1">
        <w:rPr>
          <w:sz w:val="24"/>
          <w:szCs w:val="24"/>
        </w:rPr>
        <w:t xml:space="preserve"> marzo de gestión de equipos inconsistentes (calidad de datos)</w:t>
      </w:r>
      <w:r>
        <w:rPr>
          <w:sz w:val="24"/>
          <w:szCs w:val="24"/>
        </w:rPr>
        <w:t xml:space="preserve"> en Laboratorio</w:t>
      </w:r>
      <w:r w:rsidRPr="00A82DF1">
        <w:rPr>
          <w:sz w:val="24"/>
          <w:szCs w:val="24"/>
        </w:rPr>
        <w:t>.</w:t>
      </w:r>
    </w:p>
    <w:p w:rsidR="003F4879" w:rsidRDefault="003F4879" w:rsidP="003F4879">
      <w:pPr>
        <w:pStyle w:val="Prrafodelista"/>
        <w:jc w:val="both"/>
        <w:rPr>
          <w:sz w:val="24"/>
          <w:szCs w:val="24"/>
        </w:rPr>
      </w:pPr>
    </w:p>
    <w:p w:rsidR="003F4879" w:rsidRDefault="003F4879" w:rsidP="00A82DF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Gestión de las colas de puentes que hace en terreno se están realizando en las noches con personal de asignaciones, de esta manera se mejora en 8 horas el tiempo de 4.800 pedidos mensualmente y disminuye la cantidad de alarmados (citas pactadas con el cliente que tienen error).</w:t>
      </w:r>
    </w:p>
    <w:p w:rsidR="00841BCC" w:rsidRPr="00841BCC" w:rsidRDefault="00841BCC" w:rsidP="00841BCC">
      <w:pPr>
        <w:pStyle w:val="Prrafodelista"/>
        <w:rPr>
          <w:sz w:val="24"/>
          <w:szCs w:val="24"/>
        </w:rPr>
      </w:pPr>
    </w:p>
    <w:p w:rsidR="00841BCC" w:rsidRDefault="00841BCC" w:rsidP="00A82DF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Negociación de </w:t>
      </w:r>
      <w:r w:rsidRPr="00841BCC">
        <w:rPr>
          <w:sz w:val="24"/>
          <w:szCs w:val="24"/>
        </w:rPr>
        <w:t>de gestión de reenumeración de amarillos (correo reenumeración amarillos)</w:t>
      </w:r>
      <w:r>
        <w:rPr>
          <w:sz w:val="24"/>
          <w:szCs w:val="24"/>
        </w:rPr>
        <w:t xml:space="preserve"> con el Back.</w:t>
      </w:r>
    </w:p>
    <w:p w:rsidR="00841BCC" w:rsidRPr="00A82DF1" w:rsidRDefault="00841BCC" w:rsidP="00B83499">
      <w:pPr>
        <w:pStyle w:val="Prrafodelista"/>
        <w:jc w:val="both"/>
        <w:rPr>
          <w:sz w:val="24"/>
          <w:szCs w:val="24"/>
        </w:rPr>
      </w:pPr>
    </w:p>
    <w:sectPr w:rsidR="00841BCC" w:rsidRPr="00A82DF1" w:rsidSect="00E23B4A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63B" w:rsidRDefault="0060663B" w:rsidP="009B43C0">
      <w:pPr>
        <w:spacing w:after="0" w:line="240" w:lineRule="auto"/>
      </w:pPr>
      <w:r>
        <w:separator/>
      </w:r>
    </w:p>
  </w:endnote>
  <w:endnote w:type="continuationSeparator" w:id="0">
    <w:p w:rsidR="0060663B" w:rsidRDefault="0060663B" w:rsidP="009B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51A" w:rsidRDefault="0068351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63B" w:rsidRDefault="0060663B" w:rsidP="009B43C0">
      <w:pPr>
        <w:spacing w:after="0" w:line="240" w:lineRule="auto"/>
      </w:pPr>
      <w:r>
        <w:separator/>
      </w:r>
    </w:p>
  </w:footnote>
  <w:footnote w:type="continuationSeparator" w:id="0">
    <w:p w:rsidR="0060663B" w:rsidRDefault="0060663B" w:rsidP="009B43C0">
      <w:pPr>
        <w:spacing w:after="0" w:line="240" w:lineRule="auto"/>
      </w:pPr>
      <w:r>
        <w:continuationSeparator/>
      </w:r>
    </w:p>
  </w:footnote>
  <w:footnote w:id="1">
    <w:p w:rsidR="009B43C0" w:rsidRDefault="009B43C0">
      <w:pPr>
        <w:pStyle w:val="Textonotapie"/>
      </w:pPr>
      <w:r>
        <w:rPr>
          <w:rStyle w:val="Refdenotaalpie"/>
        </w:rPr>
        <w:footnoteRef/>
      </w:r>
      <w:r w:rsidR="00816AFD">
        <w:t xml:space="preserve"> Fecha de validación: 20/</w:t>
      </w:r>
      <w:r>
        <w:t>0</w:t>
      </w:r>
      <w:r w:rsidR="00816AFD">
        <w:t>6</w:t>
      </w:r>
      <w:r>
        <w:t>/2016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42BF4"/>
    <w:multiLevelType w:val="hybridMultilevel"/>
    <w:tmpl w:val="C2E43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36DBA"/>
    <w:multiLevelType w:val="hybridMultilevel"/>
    <w:tmpl w:val="79DEB1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45AC7"/>
    <w:multiLevelType w:val="hybridMultilevel"/>
    <w:tmpl w:val="7812B2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638B"/>
    <w:rsid w:val="0001120B"/>
    <w:rsid w:val="000360C2"/>
    <w:rsid w:val="00062CD7"/>
    <w:rsid w:val="000801A5"/>
    <w:rsid w:val="000B15AB"/>
    <w:rsid w:val="000B17F0"/>
    <w:rsid w:val="000D371C"/>
    <w:rsid w:val="000D5536"/>
    <w:rsid w:val="000F4549"/>
    <w:rsid w:val="000F5970"/>
    <w:rsid w:val="001050E0"/>
    <w:rsid w:val="00115737"/>
    <w:rsid w:val="00115E06"/>
    <w:rsid w:val="0011723B"/>
    <w:rsid w:val="00130367"/>
    <w:rsid w:val="00131ED4"/>
    <w:rsid w:val="001436DE"/>
    <w:rsid w:val="00146B8B"/>
    <w:rsid w:val="00167121"/>
    <w:rsid w:val="0017389A"/>
    <w:rsid w:val="001757B6"/>
    <w:rsid w:val="0017725D"/>
    <w:rsid w:val="00182CDE"/>
    <w:rsid w:val="0018447A"/>
    <w:rsid w:val="00187EE7"/>
    <w:rsid w:val="001B2E72"/>
    <w:rsid w:val="001C202E"/>
    <w:rsid w:val="001D2D5C"/>
    <w:rsid w:val="001E32E0"/>
    <w:rsid w:val="001F1661"/>
    <w:rsid w:val="001F4165"/>
    <w:rsid w:val="00207222"/>
    <w:rsid w:val="00211689"/>
    <w:rsid w:val="00221073"/>
    <w:rsid w:val="00231C58"/>
    <w:rsid w:val="00254562"/>
    <w:rsid w:val="00256041"/>
    <w:rsid w:val="0026094C"/>
    <w:rsid w:val="00272EFF"/>
    <w:rsid w:val="00274E12"/>
    <w:rsid w:val="00287E71"/>
    <w:rsid w:val="002A4B61"/>
    <w:rsid w:val="002B0E02"/>
    <w:rsid w:val="002C508F"/>
    <w:rsid w:val="002E6ADB"/>
    <w:rsid w:val="002F57B7"/>
    <w:rsid w:val="00332002"/>
    <w:rsid w:val="003738B5"/>
    <w:rsid w:val="00382086"/>
    <w:rsid w:val="003A6A30"/>
    <w:rsid w:val="003B1487"/>
    <w:rsid w:val="003E701B"/>
    <w:rsid w:val="003F4879"/>
    <w:rsid w:val="00412DA5"/>
    <w:rsid w:val="00422FAE"/>
    <w:rsid w:val="00426566"/>
    <w:rsid w:val="0043608F"/>
    <w:rsid w:val="00437C00"/>
    <w:rsid w:val="00462625"/>
    <w:rsid w:val="00464777"/>
    <w:rsid w:val="00494504"/>
    <w:rsid w:val="004A38CA"/>
    <w:rsid w:val="004A689D"/>
    <w:rsid w:val="004B0485"/>
    <w:rsid w:val="004B5DC4"/>
    <w:rsid w:val="004B638B"/>
    <w:rsid w:val="004C28C7"/>
    <w:rsid w:val="004D0A0C"/>
    <w:rsid w:val="004F2EDB"/>
    <w:rsid w:val="0052340F"/>
    <w:rsid w:val="00577FC8"/>
    <w:rsid w:val="005860B5"/>
    <w:rsid w:val="005914C4"/>
    <w:rsid w:val="005A5A9C"/>
    <w:rsid w:val="005B7246"/>
    <w:rsid w:val="005C1D9D"/>
    <w:rsid w:val="005C54AD"/>
    <w:rsid w:val="005C7034"/>
    <w:rsid w:val="005D0692"/>
    <w:rsid w:val="005D2222"/>
    <w:rsid w:val="0060663B"/>
    <w:rsid w:val="00611C7D"/>
    <w:rsid w:val="006378D6"/>
    <w:rsid w:val="00645792"/>
    <w:rsid w:val="00650A16"/>
    <w:rsid w:val="00671AF1"/>
    <w:rsid w:val="00672398"/>
    <w:rsid w:val="00677F62"/>
    <w:rsid w:val="0068351A"/>
    <w:rsid w:val="006854DC"/>
    <w:rsid w:val="006A6146"/>
    <w:rsid w:val="006D34A7"/>
    <w:rsid w:val="006E2A0C"/>
    <w:rsid w:val="007141F9"/>
    <w:rsid w:val="0072667D"/>
    <w:rsid w:val="007351D4"/>
    <w:rsid w:val="0074647F"/>
    <w:rsid w:val="00747126"/>
    <w:rsid w:val="0077213C"/>
    <w:rsid w:val="007740FC"/>
    <w:rsid w:val="007748EE"/>
    <w:rsid w:val="00782210"/>
    <w:rsid w:val="00797048"/>
    <w:rsid w:val="007A6CAD"/>
    <w:rsid w:val="007B2088"/>
    <w:rsid w:val="007B2A2A"/>
    <w:rsid w:val="007B4FCE"/>
    <w:rsid w:val="007C1CBF"/>
    <w:rsid w:val="007E1C9E"/>
    <w:rsid w:val="00803811"/>
    <w:rsid w:val="00814DBF"/>
    <w:rsid w:val="00816AFD"/>
    <w:rsid w:val="008271B7"/>
    <w:rsid w:val="00831DA6"/>
    <w:rsid w:val="00834A9E"/>
    <w:rsid w:val="00841BCC"/>
    <w:rsid w:val="008932F4"/>
    <w:rsid w:val="008946E9"/>
    <w:rsid w:val="008A26CF"/>
    <w:rsid w:val="008A4436"/>
    <w:rsid w:val="008A5AA9"/>
    <w:rsid w:val="008A7FC3"/>
    <w:rsid w:val="008B0728"/>
    <w:rsid w:val="008D1B25"/>
    <w:rsid w:val="009007EB"/>
    <w:rsid w:val="00906E84"/>
    <w:rsid w:val="009402D5"/>
    <w:rsid w:val="00952285"/>
    <w:rsid w:val="00960A32"/>
    <w:rsid w:val="00980FA2"/>
    <w:rsid w:val="009A7AAC"/>
    <w:rsid w:val="009A7C16"/>
    <w:rsid w:val="009B43C0"/>
    <w:rsid w:val="009C007E"/>
    <w:rsid w:val="009C537E"/>
    <w:rsid w:val="009C64AC"/>
    <w:rsid w:val="00A0410C"/>
    <w:rsid w:val="00A0530E"/>
    <w:rsid w:val="00A071B0"/>
    <w:rsid w:val="00A30DC6"/>
    <w:rsid w:val="00A37949"/>
    <w:rsid w:val="00A43389"/>
    <w:rsid w:val="00A4498E"/>
    <w:rsid w:val="00A50B20"/>
    <w:rsid w:val="00A52625"/>
    <w:rsid w:val="00A548C6"/>
    <w:rsid w:val="00A80B00"/>
    <w:rsid w:val="00A82DF1"/>
    <w:rsid w:val="00AA1509"/>
    <w:rsid w:val="00AA683E"/>
    <w:rsid w:val="00AB4523"/>
    <w:rsid w:val="00AF321B"/>
    <w:rsid w:val="00B10D0E"/>
    <w:rsid w:val="00B15BE7"/>
    <w:rsid w:val="00B17291"/>
    <w:rsid w:val="00B314D8"/>
    <w:rsid w:val="00B47413"/>
    <w:rsid w:val="00B83499"/>
    <w:rsid w:val="00B854B1"/>
    <w:rsid w:val="00B87F3A"/>
    <w:rsid w:val="00BA01FB"/>
    <w:rsid w:val="00BB0133"/>
    <w:rsid w:val="00BB37EB"/>
    <w:rsid w:val="00BF2FED"/>
    <w:rsid w:val="00BF488C"/>
    <w:rsid w:val="00BF7DC7"/>
    <w:rsid w:val="00C002CB"/>
    <w:rsid w:val="00C42807"/>
    <w:rsid w:val="00C441FC"/>
    <w:rsid w:val="00C53331"/>
    <w:rsid w:val="00C65DDC"/>
    <w:rsid w:val="00C66501"/>
    <w:rsid w:val="00C819A8"/>
    <w:rsid w:val="00C93061"/>
    <w:rsid w:val="00CA567B"/>
    <w:rsid w:val="00CD389E"/>
    <w:rsid w:val="00D036FC"/>
    <w:rsid w:val="00D05897"/>
    <w:rsid w:val="00D05E9D"/>
    <w:rsid w:val="00D2767D"/>
    <w:rsid w:val="00D372ED"/>
    <w:rsid w:val="00D646EE"/>
    <w:rsid w:val="00D8725B"/>
    <w:rsid w:val="00D87B20"/>
    <w:rsid w:val="00DA6535"/>
    <w:rsid w:val="00DA708E"/>
    <w:rsid w:val="00DA7FFB"/>
    <w:rsid w:val="00DC45ED"/>
    <w:rsid w:val="00DC789F"/>
    <w:rsid w:val="00DC7C49"/>
    <w:rsid w:val="00DC7FC2"/>
    <w:rsid w:val="00DD14B2"/>
    <w:rsid w:val="00DD1A1A"/>
    <w:rsid w:val="00DE08B2"/>
    <w:rsid w:val="00DE260F"/>
    <w:rsid w:val="00DE5AC0"/>
    <w:rsid w:val="00DF3CB4"/>
    <w:rsid w:val="00E23B4A"/>
    <w:rsid w:val="00E26BB7"/>
    <w:rsid w:val="00E36CD8"/>
    <w:rsid w:val="00E770FF"/>
    <w:rsid w:val="00E9743F"/>
    <w:rsid w:val="00EE2683"/>
    <w:rsid w:val="00EE30B5"/>
    <w:rsid w:val="00EF2F67"/>
    <w:rsid w:val="00F03F8C"/>
    <w:rsid w:val="00F1271C"/>
    <w:rsid w:val="00F16B67"/>
    <w:rsid w:val="00F245D2"/>
    <w:rsid w:val="00F307BC"/>
    <w:rsid w:val="00F32C15"/>
    <w:rsid w:val="00F514BF"/>
    <w:rsid w:val="00F61ED5"/>
    <w:rsid w:val="00F63959"/>
    <w:rsid w:val="00F842B0"/>
    <w:rsid w:val="00F87B39"/>
    <w:rsid w:val="00FB1F02"/>
    <w:rsid w:val="00FC4695"/>
    <w:rsid w:val="00FE4965"/>
    <w:rsid w:val="00FF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B4A"/>
  </w:style>
  <w:style w:type="paragraph" w:styleId="Ttulo1">
    <w:name w:val="heading 1"/>
    <w:basedOn w:val="Normal"/>
    <w:next w:val="Normal"/>
    <w:link w:val="Ttulo1Car"/>
    <w:uiPriority w:val="9"/>
    <w:qFormat/>
    <w:rsid w:val="007B2A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2A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D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0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A7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B2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2A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2CD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2C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2CD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2CD7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B43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B43C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B43C0"/>
    <w:rPr>
      <w:vertAlign w:val="superscript"/>
    </w:rPr>
  </w:style>
  <w:style w:type="paragraph" w:styleId="Encabezado">
    <w:name w:val="header"/>
    <w:basedOn w:val="Normal"/>
    <w:link w:val="EncabezadoCar"/>
    <w:uiPriority w:val="99"/>
    <w:semiHidden/>
    <w:unhideWhenUsed/>
    <w:rsid w:val="006835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8351A"/>
  </w:style>
  <w:style w:type="paragraph" w:styleId="Piedepgina">
    <w:name w:val="footer"/>
    <w:basedOn w:val="Normal"/>
    <w:link w:val="PiedepginaCar"/>
    <w:uiPriority w:val="99"/>
    <w:unhideWhenUsed/>
    <w:rsid w:val="006835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5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ebapp/portalgi/8_ans/disponibles/listainformes.php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package" Target="embeddings/Documento_de_Microsoft_Office_Word1.docx"/><Relationship Id="rId7" Type="http://schemas.openxmlformats.org/officeDocument/2006/relationships/endnotes" Target="endnotes.xml"/><Relationship Id="rId12" Type="http://schemas.openxmlformats.org/officeDocument/2006/relationships/oleObject" Target="embeddings/Hoja_de_c_lculo_de_Microsoft_Office_Excel_97-20031.xls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cid:image003.jpg@01D1747A.ABD7970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22C9E6-71A1-4E36-9EF1-79487B66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2268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grodrigu</dc:creator>
  <cp:keywords/>
  <dc:description/>
  <cp:lastModifiedBy>grodrigu</cp:lastModifiedBy>
  <cp:revision>223</cp:revision>
  <dcterms:created xsi:type="dcterms:W3CDTF">2016-04-04T11:55:00Z</dcterms:created>
  <dcterms:modified xsi:type="dcterms:W3CDTF">2016-06-23T20:50:00Z</dcterms:modified>
</cp:coreProperties>
</file>