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E304" w14:textId="6E51215D" w:rsidR="009F66E6" w:rsidRPr="005A7AEB" w:rsidRDefault="00CE7195">
      <w:pPr>
        <w:pStyle w:val="Sumrio1"/>
        <w:rPr>
          <w:rFonts w:cs="Arial"/>
          <w:b w:val="0"/>
          <w:noProof w:val="0"/>
          <w:sz w:val="22"/>
        </w:rPr>
      </w:pPr>
      <w:r w:rsidRPr="005A7AEB">
        <w:rPr>
          <w:noProof w:val="0"/>
          <w14:ligatures w14:val="standardContextual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D1C3240" wp14:editId="3ECD37D6">
                <wp:simplePos x="0" y="0"/>
                <wp:positionH relativeFrom="column">
                  <wp:posOffset>1194435</wp:posOffset>
                </wp:positionH>
                <wp:positionV relativeFrom="paragraph">
                  <wp:posOffset>-447675</wp:posOffset>
                </wp:positionV>
                <wp:extent cx="3819525" cy="152400"/>
                <wp:effectExtent l="0" t="0" r="9525" b="0"/>
                <wp:wrapNone/>
                <wp:docPr id="15807137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D8512" id="Rectangle 1" o:spid="_x0000_s1026" style="position:absolute;margin-left:94.05pt;margin-top:-35.25pt;width:300.75pt;height:12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" fillcolor="white [3212]" stroked="f" strokeweight="1.5pt"/>
            </w:pict>
          </mc:Fallback>
        </mc:AlternateContent>
      </w:r>
    </w:p>
    <w:p w14:paraId="205AC736" w14:textId="7416E009" w:rsidR="009F66E6" w:rsidRPr="005A7AEB" w:rsidRDefault="009F66E6" w:rsidP="009F66E6"/>
    <w:p w14:paraId="715DF56F" w14:textId="77777777" w:rsidR="009F66E6" w:rsidRPr="005A7AEB" w:rsidRDefault="009F66E6" w:rsidP="009F66E6"/>
    <w:p w14:paraId="04A8DA0A" w14:textId="070EC3D6" w:rsidR="009F66E6" w:rsidRPr="005A7AEB" w:rsidRDefault="009F66E6" w:rsidP="009F66E6"/>
    <w:p w14:paraId="00486C42" w14:textId="087634BA" w:rsidR="009F66E6" w:rsidRPr="005A7AEB" w:rsidRDefault="009F66E6" w:rsidP="009F66E6"/>
    <w:p w14:paraId="0E116073" w14:textId="36520ACB" w:rsidR="009F66E6" w:rsidRPr="005A7AEB" w:rsidRDefault="009F66E6" w:rsidP="009F66E6"/>
    <w:p w14:paraId="698C98E6" w14:textId="0BD2A667" w:rsidR="009F66E6" w:rsidRPr="005A7AEB" w:rsidRDefault="009F66E6" w:rsidP="009F66E6"/>
    <w:p w14:paraId="187450C2" w14:textId="5173E579" w:rsidR="009F66E6" w:rsidRPr="005A7AEB" w:rsidRDefault="009F66E6" w:rsidP="009F66E6"/>
    <w:p w14:paraId="707A323D" w14:textId="77777777" w:rsidR="009F66E6" w:rsidRPr="005A7AEB" w:rsidRDefault="009F66E6" w:rsidP="009F66E6"/>
    <w:p w14:paraId="0F3F6436" w14:textId="3C9D018C" w:rsidR="009F66E6" w:rsidRPr="005A7AEB" w:rsidRDefault="009F66E6" w:rsidP="009F66E6"/>
    <w:p w14:paraId="679C216F" w14:textId="163517F9" w:rsidR="009F66E6" w:rsidRPr="005A7AEB" w:rsidRDefault="009F66E6" w:rsidP="009F66E6"/>
    <w:p w14:paraId="15D007A5" w14:textId="77777777" w:rsidR="009F66E6" w:rsidRPr="005A7AEB" w:rsidRDefault="009F66E6" w:rsidP="009F66E6"/>
    <w:p w14:paraId="739ABB98" w14:textId="77777777" w:rsidR="009F66E6" w:rsidRPr="005A7AEB" w:rsidRDefault="009F66E6" w:rsidP="009F66E6"/>
    <w:p w14:paraId="495DBF92" w14:textId="77777777" w:rsidR="009F66E6" w:rsidRPr="005A7AEB" w:rsidRDefault="009F66E6" w:rsidP="009F66E6"/>
    <w:p w14:paraId="7167A280" w14:textId="77777777" w:rsidR="009F66E6" w:rsidRPr="005A7AEB" w:rsidRDefault="009F66E6" w:rsidP="009F66E6"/>
    <w:p w14:paraId="265A21F0" w14:textId="77777777" w:rsidR="009F66E6" w:rsidRPr="005A7AEB" w:rsidRDefault="009F66E6" w:rsidP="009F66E6"/>
    <w:p w14:paraId="7D27FFCB" w14:textId="77777777" w:rsidR="009F66E6" w:rsidRPr="005A7AEB" w:rsidRDefault="009F66E6" w:rsidP="009F66E6"/>
    <w:p w14:paraId="799D0559" w14:textId="77777777" w:rsidR="009F66E6" w:rsidRPr="005A7AEB" w:rsidRDefault="009F66E6" w:rsidP="009F66E6"/>
    <w:p w14:paraId="648772B9" w14:textId="77777777" w:rsidR="009F66E6" w:rsidRPr="005A7AEB" w:rsidRDefault="009F66E6" w:rsidP="009F66E6"/>
    <w:p w14:paraId="50B9BCAF" w14:textId="1919106E" w:rsidR="009F66E6" w:rsidRPr="005A7AEB" w:rsidRDefault="009F66E6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  <w:r w:rsidRPr="005A7AEB">
        <w:rPr>
          <w:rFonts w:cs="Arial"/>
          <w:b/>
          <w:bCs/>
          <w:sz w:val="44"/>
          <w:szCs w:val="44"/>
        </w:rPr>
        <w:fldChar w:fldCharType="begin"/>
      </w:r>
      <w:r w:rsidRPr="005A7AEB">
        <w:rPr>
          <w:rFonts w:cs="Arial"/>
          <w:b/>
          <w:bCs/>
          <w:sz w:val="44"/>
          <w:szCs w:val="44"/>
        </w:rPr>
        <w:instrText xml:space="preserve"> DOCPROPERTY Title \* MERGEFORMAT </w:instrText>
      </w:r>
      <w:r w:rsidRPr="005A7AEB">
        <w:rPr>
          <w:rFonts w:cs="Arial"/>
          <w:b/>
          <w:bCs/>
          <w:sz w:val="44"/>
          <w:szCs w:val="44"/>
        </w:rPr>
        <w:fldChar w:fldCharType="end"/>
      </w:r>
    </w:p>
    <w:p w14:paraId="1347DDB5" w14:textId="29ECD306" w:rsidR="009F66E6" w:rsidRPr="005A7AEB" w:rsidRDefault="00CE7195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  <w:r w:rsidRPr="005A7AEB">
        <w:rPr>
          <w:rFonts w:cs="Arial"/>
          <w:b/>
          <w:bCs/>
          <w:sz w:val="44"/>
          <w:szCs w:val="44"/>
        </w:rPr>
        <w:t xml:space="preserve">Anexo </w:t>
      </w:r>
      <w:r w:rsidR="0059121B" w:rsidRPr="005A7AEB">
        <w:rPr>
          <w:rFonts w:cs="Arial"/>
          <w:b/>
          <w:bCs/>
          <w:sz w:val="44"/>
          <w:szCs w:val="44"/>
        </w:rPr>
        <w:t>2</w:t>
      </w:r>
      <w:r w:rsidRPr="005A7AEB">
        <w:rPr>
          <w:rFonts w:cs="Arial"/>
          <w:b/>
          <w:bCs/>
          <w:sz w:val="44"/>
          <w:szCs w:val="44"/>
        </w:rPr>
        <w:t xml:space="preserve"> – Plano </w:t>
      </w:r>
      <w:r w:rsidR="00B3769E" w:rsidRPr="005A7AEB">
        <w:rPr>
          <w:rFonts w:cs="Arial"/>
          <w:b/>
          <w:bCs/>
          <w:sz w:val="44"/>
          <w:szCs w:val="44"/>
        </w:rPr>
        <w:t>de Coleta</w:t>
      </w:r>
      <w:r w:rsidR="0059121B" w:rsidRPr="005A7AEB">
        <w:rPr>
          <w:rFonts w:cs="Arial"/>
          <w:b/>
          <w:bCs/>
          <w:sz w:val="44"/>
          <w:szCs w:val="44"/>
        </w:rPr>
        <w:t xml:space="preserve"> de Amostra de Fluido Multifásico</w:t>
      </w:r>
    </w:p>
    <w:p w14:paraId="775DAAA1" w14:textId="77777777" w:rsidR="009F66E6" w:rsidRPr="005A7AEB" w:rsidRDefault="009F66E6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</w:p>
    <w:p w14:paraId="2B574154" w14:textId="77777777" w:rsidR="009F66E6" w:rsidRPr="005A7AEB" w:rsidRDefault="009F66E6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</w:p>
    <w:p w14:paraId="28F06AD5" w14:textId="77777777" w:rsidR="009F66E6" w:rsidRPr="005A7AEB" w:rsidRDefault="009F66E6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</w:p>
    <w:p w14:paraId="53C518C1" w14:textId="77777777" w:rsidR="009F66E6" w:rsidRPr="005A7AEB" w:rsidRDefault="009F66E6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</w:p>
    <w:p w14:paraId="5EBA584D" w14:textId="77777777" w:rsidR="009F66E6" w:rsidRPr="005A7AEB" w:rsidRDefault="009F66E6" w:rsidP="009F66E6">
      <w:pPr>
        <w:pStyle w:val="Cabealho"/>
        <w:jc w:val="center"/>
        <w:rPr>
          <w:rFonts w:cs="Arial"/>
          <w:b/>
          <w:bCs/>
          <w:sz w:val="44"/>
          <w:szCs w:val="44"/>
        </w:rPr>
      </w:pPr>
    </w:p>
    <w:p w14:paraId="35F6A97B" w14:textId="7E99850A" w:rsidR="009F66E6" w:rsidRPr="005A7AEB" w:rsidRDefault="009F66E6" w:rsidP="009F66E6">
      <w:pPr>
        <w:jc w:val="center"/>
        <w:rPr>
          <w:b/>
          <w:sz w:val="32"/>
          <w:szCs w:val="32"/>
        </w:rPr>
      </w:pPr>
      <w:r w:rsidRPr="005A7AEB">
        <w:rPr>
          <w:rFonts w:cs="Arial"/>
          <w:b/>
        </w:rPr>
        <w:t>Pertence ao Gerir Sistema de Medição de Fluido Multifásico</w:t>
      </w:r>
    </w:p>
    <w:p w14:paraId="2B7275C8" w14:textId="77777777" w:rsidR="009F66E6" w:rsidRPr="005A7AEB" w:rsidRDefault="009F66E6" w:rsidP="009F66E6"/>
    <w:p w14:paraId="3D527E39" w14:textId="77777777" w:rsidR="009F66E6" w:rsidRPr="005A7AEB" w:rsidRDefault="009F66E6" w:rsidP="009F66E6"/>
    <w:p w14:paraId="2C9E5923" w14:textId="77777777" w:rsidR="009F66E6" w:rsidRPr="005A7AEB" w:rsidRDefault="009F66E6" w:rsidP="009F66E6"/>
    <w:p w14:paraId="7622BFB4" w14:textId="77777777" w:rsidR="009F66E6" w:rsidRPr="005A7AEB" w:rsidRDefault="009F66E6" w:rsidP="009F66E6"/>
    <w:p w14:paraId="5FFB7FE1" w14:textId="77777777" w:rsidR="009F66E6" w:rsidRPr="005A7AEB" w:rsidRDefault="009F66E6" w:rsidP="009F66E6"/>
    <w:p w14:paraId="2EA52540" w14:textId="77777777" w:rsidR="009F66E6" w:rsidRPr="005A7AEB" w:rsidRDefault="009F66E6" w:rsidP="009F66E6"/>
    <w:p w14:paraId="008CA3B3" w14:textId="77777777" w:rsidR="009F66E6" w:rsidRPr="005A7AEB" w:rsidRDefault="009F66E6" w:rsidP="009F66E6"/>
    <w:p w14:paraId="03DDF98F" w14:textId="77777777" w:rsidR="009F66E6" w:rsidRPr="005A7AEB" w:rsidRDefault="009F66E6" w:rsidP="009F66E6"/>
    <w:p w14:paraId="3B4DC454" w14:textId="77777777" w:rsidR="00CE7195" w:rsidRPr="005A7AEB" w:rsidRDefault="00CE7195" w:rsidP="009F66E6"/>
    <w:p w14:paraId="6CC42ADF" w14:textId="77777777" w:rsidR="00CE7195" w:rsidRPr="005A7AEB" w:rsidRDefault="00CE7195" w:rsidP="009F66E6"/>
    <w:p w14:paraId="6A1AD3EB" w14:textId="77777777" w:rsidR="00CE7195" w:rsidRPr="005A7AEB" w:rsidRDefault="00CE7195" w:rsidP="009F66E6"/>
    <w:p w14:paraId="33C44AD3" w14:textId="77777777" w:rsidR="009F66E6" w:rsidRPr="005A7AEB" w:rsidRDefault="009F66E6" w:rsidP="009F66E6"/>
    <w:p w14:paraId="5993D87C" w14:textId="77777777" w:rsidR="009F66E6" w:rsidRPr="005A7AEB" w:rsidRDefault="009F66E6" w:rsidP="009F66E6"/>
    <w:p w14:paraId="438D1342" w14:textId="77777777" w:rsidR="009F66E6" w:rsidRPr="005A7AEB" w:rsidRDefault="009F66E6" w:rsidP="009F66E6"/>
    <w:p w14:paraId="316CEA68" w14:textId="77777777" w:rsidR="009F66E6" w:rsidRPr="005A7AEB" w:rsidRDefault="009F66E6" w:rsidP="009F66E6"/>
    <w:p w14:paraId="29D2AF07" w14:textId="77777777" w:rsidR="009F66E6" w:rsidRPr="005A7AEB" w:rsidRDefault="009F66E6" w:rsidP="009F66E6"/>
    <w:p w14:paraId="6E278198" w14:textId="0BFC8198" w:rsidR="009F66E6" w:rsidRPr="005A7AEB" w:rsidRDefault="009F66E6" w:rsidP="009F66E6"/>
    <w:p w14:paraId="2CC236BD" w14:textId="71044CE7" w:rsidR="009F66E6" w:rsidRPr="005A7AEB" w:rsidRDefault="00CE7195" w:rsidP="009F66E6">
      <w:r w:rsidRPr="005A7AEB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B020D53" wp14:editId="4F001D4C">
                <wp:simplePos x="0" y="0"/>
                <wp:positionH relativeFrom="page">
                  <wp:align>center</wp:align>
                </wp:positionH>
                <wp:positionV relativeFrom="paragraph">
                  <wp:posOffset>436880</wp:posOffset>
                </wp:positionV>
                <wp:extent cx="3490622" cy="413467"/>
                <wp:effectExtent l="0" t="0" r="0" b="5715"/>
                <wp:wrapNone/>
                <wp:docPr id="112080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622" cy="4134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B9CCA" id="Rectangle 1" o:spid="_x0000_s1026" style="position:absolute;margin-left:0;margin-top:34.4pt;width:274.85pt;height:32.55pt;z-index:2516029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" fillcolor="white [3212]" stroked="f" strokeweight="1.5pt">
                <w10:wrap anchorx="page"/>
              </v:rect>
            </w:pict>
          </mc:Fallback>
        </mc:AlternateContent>
      </w:r>
    </w:p>
    <w:p w14:paraId="3944B912" w14:textId="57A3202F" w:rsidR="001A355F" w:rsidRPr="005A7AEB" w:rsidRDefault="009F66E6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r w:rsidRPr="005A7AEB">
        <w:rPr>
          <w:rFonts w:cs="Arial"/>
          <w:b w:val="0"/>
          <w:noProof w:val="0"/>
          <w:sz w:val="22"/>
        </w:rPr>
        <w:lastRenderedPageBreak/>
        <w:fldChar w:fldCharType="begin"/>
      </w:r>
      <w:r w:rsidRPr="005A7AEB">
        <w:rPr>
          <w:rFonts w:cs="Arial"/>
          <w:noProof w:val="0"/>
        </w:rPr>
        <w:instrText xml:space="preserve"> TOC \o "1-2" \h \z</w:instrText>
      </w:r>
      <w:r w:rsidRPr="005A7AEB">
        <w:rPr>
          <w:rFonts w:cs="Arial"/>
          <w:b w:val="0"/>
          <w:noProof w:val="0"/>
          <w:sz w:val="22"/>
        </w:rPr>
        <w:fldChar w:fldCharType="separate"/>
      </w:r>
      <w:hyperlink w:anchor="_Toc217108096" w:history="1">
        <w:r w:rsidR="001A355F" w:rsidRPr="005A7AEB">
          <w:rPr>
            <w:rStyle w:val="Hyperlink"/>
            <w:rFonts w:cs="Arial"/>
            <w:bCs/>
          </w:rPr>
          <w:t>1.</w:t>
        </w:r>
        <w:r w:rsidR="001A355F"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="001A355F" w:rsidRPr="005A7AEB">
          <w:rPr>
            <w:rStyle w:val="Hyperlink"/>
            <w:rFonts w:eastAsia="Arial" w:cs="Arial"/>
            <w:bCs/>
          </w:rPr>
          <w:t>Objetivo e Escopo</w:t>
        </w:r>
        <w:r w:rsidR="001A355F" w:rsidRPr="005A7AEB">
          <w:rPr>
            <w:webHidden/>
          </w:rPr>
          <w:tab/>
        </w:r>
        <w:r w:rsidR="001A355F" w:rsidRPr="005A7AEB">
          <w:rPr>
            <w:webHidden/>
          </w:rPr>
          <w:fldChar w:fldCharType="begin"/>
        </w:r>
        <w:r w:rsidR="001A355F" w:rsidRPr="005A7AEB">
          <w:rPr>
            <w:webHidden/>
          </w:rPr>
          <w:instrText xml:space="preserve"> PAGEREF _Toc217108096 \h </w:instrText>
        </w:r>
        <w:r w:rsidR="001A355F" w:rsidRPr="005A7AEB">
          <w:rPr>
            <w:webHidden/>
          </w:rPr>
        </w:r>
        <w:r w:rsidR="001A355F" w:rsidRPr="005A7AEB">
          <w:rPr>
            <w:webHidden/>
          </w:rPr>
          <w:fldChar w:fldCharType="separate"/>
        </w:r>
        <w:r w:rsidR="00A047B0">
          <w:rPr>
            <w:webHidden/>
          </w:rPr>
          <w:t>3</w:t>
        </w:r>
        <w:r w:rsidR="001A355F" w:rsidRPr="005A7AEB">
          <w:rPr>
            <w:webHidden/>
          </w:rPr>
          <w:fldChar w:fldCharType="end"/>
        </w:r>
      </w:hyperlink>
    </w:p>
    <w:p w14:paraId="1C7CBCA9" w14:textId="3D334BE5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097" w:history="1">
        <w:r w:rsidRPr="005A7AEB">
          <w:rPr>
            <w:rStyle w:val="Hyperlink"/>
            <w:rFonts w:eastAsia="Arial" w:cs="Arial"/>
            <w:bCs/>
          </w:rPr>
          <w:t>2.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Referências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_Toc217108097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3</w:t>
        </w:r>
        <w:r w:rsidRPr="005A7AEB">
          <w:rPr>
            <w:webHidden/>
          </w:rPr>
          <w:fldChar w:fldCharType="end"/>
        </w:r>
      </w:hyperlink>
    </w:p>
    <w:p w14:paraId="785E600E" w14:textId="53FA3279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098" w:history="1">
        <w:r w:rsidRPr="005A7AEB">
          <w:rPr>
            <w:rStyle w:val="Hyperlink"/>
            <w:rFonts w:eastAsia="Arial" w:cs="Arial"/>
            <w:bCs/>
          </w:rPr>
          <w:t>3.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Metodologia de Coleta e Pontos de Amostragem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_Toc217108098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3</w:t>
        </w:r>
        <w:r w:rsidRPr="005A7AEB">
          <w:rPr>
            <w:webHidden/>
          </w:rPr>
          <w:fldChar w:fldCharType="end"/>
        </w:r>
      </w:hyperlink>
    </w:p>
    <w:p w14:paraId="5797EFEC" w14:textId="6EA87432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099" w:history="1">
        <w:r w:rsidRPr="005A7AEB">
          <w:rPr>
            <w:rStyle w:val="Hyperlink"/>
            <w:rFonts w:eastAsia="Arial" w:cs="Arial"/>
            <w:bCs/>
          </w:rPr>
          <w:t>4.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Metodologia de Acionamento das Coletas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_Toc217108099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4</w:t>
        </w:r>
        <w:r w:rsidRPr="005A7AEB">
          <w:rPr>
            <w:webHidden/>
          </w:rPr>
          <w:fldChar w:fldCharType="end"/>
        </w:r>
      </w:hyperlink>
    </w:p>
    <w:p w14:paraId="7ADC0DDE" w14:textId="23FF3C6D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100" w:history="1">
        <w:r w:rsidRPr="005A7AEB">
          <w:rPr>
            <w:rStyle w:val="Hyperlink"/>
            <w:rFonts w:eastAsia="Arial" w:cs="Arial"/>
            <w:bCs/>
          </w:rPr>
          <w:t>5.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Critérios Objetivos para Acionamento da Coleta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_Toc217108100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5</w:t>
        </w:r>
        <w:r w:rsidRPr="005A7AEB">
          <w:rPr>
            <w:webHidden/>
          </w:rPr>
          <w:fldChar w:fldCharType="end"/>
        </w:r>
      </w:hyperlink>
    </w:p>
    <w:p w14:paraId="670CF562" w14:textId="4E5E5144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1" w:history="1">
        <w:r w:rsidRPr="005A7AEB">
          <w:rPr>
            <w:rStyle w:val="Hyperlink"/>
            <w:rFonts w:eastAsia="Arial" w:cs="Arial"/>
            <w:b/>
            <w:bCs/>
          </w:rPr>
          <w:t>5.1.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Desempenho da medição (indicadores do Anexo 1)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_Toc217108101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5</w:t>
        </w:r>
        <w:r w:rsidRPr="005A7AEB">
          <w:rPr>
            <w:webHidden/>
          </w:rPr>
          <w:fldChar w:fldCharType="end"/>
        </w:r>
      </w:hyperlink>
    </w:p>
    <w:p w14:paraId="772E94A1" w14:textId="73B96E32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2" w:history="1">
        <w:r w:rsidRPr="005A7AEB">
          <w:rPr>
            <w:rStyle w:val="Hyperlink"/>
            <w:rFonts w:eastAsia="Arial" w:cs="Arial"/>
            <w:b/>
            <w:bCs/>
          </w:rPr>
          <w:t>5.2.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Mudança relevante de processo ou fluido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_Toc217108102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5</w:t>
        </w:r>
        <w:r w:rsidRPr="005A7AEB">
          <w:rPr>
            <w:webHidden/>
          </w:rPr>
          <w:fldChar w:fldCharType="end"/>
        </w:r>
      </w:hyperlink>
    </w:p>
    <w:p w14:paraId="5108D122" w14:textId="4E1947AB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3" w:history="1">
        <w:r w:rsidRPr="005A7AEB">
          <w:rPr>
            <w:rStyle w:val="Hyperlink"/>
            <w:rFonts w:eastAsia="Arial" w:cs="Arial"/>
            <w:b/>
            <w:bCs/>
          </w:rPr>
          <w:t>5.3.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Eventos de integridade / manutenção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_Toc217108103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5</w:t>
        </w:r>
        <w:r w:rsidRPr="005A7AEB">
          <w:rPr>
            <w:webHidden/>
          </w:rPr>
          <w:fldChar w:fldCharType="end"/>
        </w:r>
      </w:hyperlink>
    </w:p>
    <w:p w14:paraId="5A4BEDE0" w14:textId="41C7B36E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104" w:history="1">
        <w:r w:rsidRPr="005A7AEB">
          <w:rPr>
            <w:rStyle w:val="Hyperlink"/>
            <w:rFonts w:eastAsia="Arial" w:cs="Arial"/>
            <w:bCs/>
          </w:rPr>
          <w:t>6.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Justificativas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_Toc217108104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6</w:t>
        </w:r>
        <w:r w:rsidRPr="005A7AEB">
          <w:rPr>
            <w:webHidden/>
          </w:rPr>
          <w:fldChar w:fldCharType="end"/>
        </w:r>
      </w:hyperlink>
    </w:p>
    <w:p w14:paraId="2DF19320" w14:textId="51E718F8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5" w:history="1">
        <w:r w:rsidRPr="005A7AEB">
          <w:rPr>
            <w:rStyle w:val="Hyperlink"/>
            <w:rFonts w:eastAsia="Arial" w:cs="Arial"/>
            <w:b/>
            <w:bCs/>
          </w:rPr>
          <w:t>6.1.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Justificativa da Periodicidade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_Toc217108105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6</w:t>
        </w:r>
        <w:r w:rsidRPr="005A7AEB">
          <w:rPr>
            <w:webHidden/>
          </w:rPr>
          <w:fldChar w:fldCharType="end"/>
        </w:r>
      </w:hyperlink>
    </w:p>
    <w:p w14:paraId="27A609EB" w14:textId="24483530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6" w:history="1">
        <w:r w:rsidRPr="005A7AEB">
          <w:rPr>
            <w:rStyle w:val="Hyperlink"/>
            <w:rFonts w:eastAsia="Arial" w:cs="Arial"/>
            <w:b/>
            <w:bCs/>
          </w:rPr>
          <w:t>6.2.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Justificativa dos Critérios Escolhidos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_Toc217108106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6</w:t>
        </w:r>
        <w:r w:rsidRPr="005A7AEB">
          <w:rPr>
            <w:webHidden/>
          </w:rPr>
          <w:fldChar w:fldCharType="end"/>
        </w:r>
      </w:hyperlink>
    </w:p>
    <w:p w14:paraId="27D7474D" w14:textId="6DCAB518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107" w:history="1">
        <w:r w:rsidRPr="005A7AEB">
          <w:rPr>
            <w:rStyle w:val="Hyperlink"/>
            <w:rFonts w:eastAsia="Arial" w:cs="Arial"/>
            <w:bCs/>
          </w:rPr>
          <w:t>7.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Logística e Registros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_Toc217108107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7</w:t>
        </w:r>
        <w:r w:rsidRPr="005A7AEB">
          <w:rPr>
            <w:webHidden/>
          </w:rPr>
          <w:fldChar w:fldCharType="end"/>
        </w:r>
      </w:hyperlink>
    </w:p>
    <w:p w14:paraId="08D72107" w14:textId="48611192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8" w:history="1">
        <w:r w:rsidRPr="005A7AEB">
          <w:rPr>
            <w:rStyle w:val="Hyperlink"/>
            <w:rFonts w:eastAsia="Arial" w:cs="Arial"/>
            <w:b/>
            <w:bCs/>
          </w:rPr>
          <w:t>7.1.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Logística das amostras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_Toc217108108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7</w:t>
        </w:r>
        <w:r w:rsidRPr="005A7AEB">
          <w:rPr>
            <w:webHidden/>
          </w:rPr>
          <w:fldChar w:fldCharType="end"/>
        </w:r>
      </w:hyperlink>
    </w:p>
    <w:p w14:paraId="401ACB08" w14:textId="089BCE39" w:rsidR="001A355F" w:rsidRPr="005A7AEB" w:rsidRDefault="001A355F">
      <w:pPr>
        <w:pStyle w:val="Sumrio2"/>
        <w:tabs>
          <w:tab w:val="left" w:pos="1531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pt-BR"/>
          <w14:ligatures w14:val="standardContextual"/>
        </w:rPr>
      </w:pPr>
      <w:hyperlink w:anchor="_Toc217108109" w:history="1">
        <w:r w:rsidRPr="005A7AEB">
          <w:rPr>
            <w:rStyle w:val="Hyperlink"/>
            <w:rFonts w:eastAsia="Arial" w:cs="Arial"/>
            <w:b/>
            <w:bCs/>
          </w:rPr>
          <w:t>7.2.</w:t>
        </w:r>
        <w:r w:rsidRPr="005A7AEB">
          <w:rPr>
            <w:rFonts w:asciiTheme="minorHAnsi" w:eastAsiaTheme="minorEastAsia" w:hAnsiTheme="minorHAnsi" w:cstheme="minorBidi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/>
            <w:bCs/>
          </w:rPr>
          <w:t>Registros mínimos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_Toc217108109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7</w:t>
        </w:r>
        <w:r w:rsidRPr="005A7AEB">
          <w:rPr>
            <w:webHidden/>
          </w:rPr>
          <w:fldChar w:fldCharType="end"/>
        </w:r>
      </w:hyperlink>
    </w:p>
    <w:p w14:paraId="5EEBC24E" w14:textId="207D13B6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110" w:history="1">
        <w:r w:rsidRPr="005A7AEB">
          <w:rPr>
            <w:rStyle w:val="Hyperlink"/>
            <w:rFonts w:eastAsia="Arial" w:cs="Arial"/>
            <w:bCs/>
          </w:rPr>
          <w:t>8.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Responsabilidades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_Toc217108110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7</w:t>
        </w:r>
        <w:r w:rsidRPr="005A7AEB">
          <w:rPr>
            <w:webHidden/>
          </w:rPr>
          <w:fldChar w:fldCharType="end"/>
        </w:r>
      </w:hyperlink>
    </w:p>
    <w:p w14:paraId="158A005B" w14:textId="313916D4" w:rsidR="001A355F" w:rsidRPr="005A7AEB" w:rsidRDefault="001A355F">
      <w:pPr>
        <w:pStyle w:val="Sumrio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pt-BR"/>
          <w14:ligatures w14:val="standardContextual"/>
        </w:rPr>
      </w:pPr>
      <w:hyperlink w:anchor="_Toc217108111" w:history="1">
        <w:r w:rsidRPr="005A7AEB">
          <w:rPr>
            <w:rStyle w:val="Hyperlink"/>
            <w:rFonts w:cs="Arial"/>
            <w:bCs/>
          </w:rPr>
          <w:t>9.</w:t>
        </w:r>
        <w:r w:rsidRPr="005A7AEB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pt-BR"/>
            <w14:ligatures w14:val="standardContextual"/>
          </w:rPr>
          <w:tab/>
        </w:r>
        <w:r w:rsidRPr="005A7AEB">
          <w:rPr>
            <w:rStyle w:val="Hyperlink"/>
            <w:rFonts w:eastAsia="Arial" w:cs="Arial"/>
            <w:bCs/>
          </w:rPr>
          <w:t>Integração com Outros Planos do SGM-FM</w:t>
        </w:r>
        <w:r w:rsidRPr="005A7AEB">
          <w:rPr>
            <w:webHidden/>
          </w:rPr>
          <w:tab/>
        </w:r>
        <w:r w:rsidRPr="005A7AEB">
          <w:rPr>
            <w:webHidden/>
          </w:rPr>
          <w:fldChar w:fldCharType="begin"/>
        </w:r>
        <w:r w:rsidRPr="005A7AEB">
          <w:rPr>
            <w:webHidden/>
          </w:rPr>
          <w:instrText xml:space="preserve"> PAGEREF _Toc217108111 \h </w:instrText>
        </w:r>
        <w:r w:rsidRPr="005A7AEB">
          <w:rPr>
            <w:webHidden/>
          </w:rPr>
        </w:r>
        <w:r w:rsidRPr="005A7AEB">
          <w:rPr>
            <w:webHidden/>
          </w:rPr>
          <w:fldChar w:fldCharType="separate"/>
        </w:r>
        <w:r w:rsidR="00A047B0">
          <w:rPr>
            <w:webHidden/>
          </w:rPr>
          <w:t>8</w:t>
        </w:r>
        <w:r w:rsidRPr="005A7AEB">
          <w:rPr>
            <w:webHidden/>
          </w:rPr>
          <w:fldChar w:fldCharType="end"/>
        </w:r>
      </w:hyperlink>
    </w:p>
    <w:p w14:paraId="479E2E92" w14:textId="6A3C6A9D" w:rsidR="009F66E6" w:rsidRPr="005A7AEB" w:rsidRDefault="009F66E6" w:rsidP="009F66E6">
      <w:pPr>
        <w:rPr>
          <w:rFonts w:cs="Arial"/>
        </w:rPr>
      </w:pPr>
      <w:r w:rsidRPr="005A7AEB">
        <w:rPr>
          <w:rFonts w:cs="Arial"/>
          <w:b/>
          <w:sz w:val="18"/>
          <w:szCs w:val="18"/>
        </w:rPr>
        <w:fldChar w:fldCharType="end"/>
      </w:r>
    </w:p>
    <w:p w14:paraId="1A6D748D" w14:textId="77777777" w:rsidR="009F66E6" w:rsidRPr="005A7AEB" w:rsidRDefault="009F66E6" w:rsidP="009F66E6">
      <w:pPr>
        <w:rPr>
          <w:rFonts w:cs="Arial"/>
        </w:rPr>
      </w:pPr>
    </w:p>
    <w:p w14:paraId="741D1312" w14:textId="77777777" w:rsidR="009F66E6" w:rsidRPr="005A7AEB" w:rsidRDefault="009F66E6" w:rsidP="009F66E6">
      <w:pPr>
        <w:rPr>
          <w:rFonts w:cs="Arial"/>
        </w:rPr>
        <w:sectPr w:rsidR="009F66E6" w:rsidRPr="005A7AEB" w:rsidSect="0025435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560" w:right="851" w:bottom="1418" w:left="1134" w:header="397" w:footer="420" w:gutter="0"/>
          <w:cols w:space="708"/>
          <w:docGrid w:linePitch="360"/>
        </w:sectPr>
      </w:pPr>
    </w:p>
    <w:p w14:paraId="1A718F2E" w14:textId="77777777" w:rsidR="009F66E6" w:rsidRPr="005A7AEB" w:rsidRDefault="009F66E6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hAnsi="Arial" w:cs="Arial"/>
          <w:b/>
          <w:bCs/>
        </w:rPr>
      </w:pPr>
      <w:bookmarkStart w:id="0" w:name="_Toc507742977"/>
      <w:bookmarkStart w:id="1" w:name="_Toc243713666"/>
      <w:bookmarkStart w:id="2" w:name="_Toc217108096"/>
      <w:bookmarkEnd w:id="0"/>
      <w:bookmarkEnd w:id="1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Objetivo e Escopo</w:t>
      </w:r>
      <w:bookmarkEnd w:id="2"/>
    </w:p>
    <w:p w14:paraId="727304A2" w14:textId="6AFA425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>Este plano tem por objetivo definir a metodologia, periodicidade, critérios de acionamento e as atividades necessárias para a coleta de amostras de fluido multifásico (óleo, gás e água), com o objetivo de garantir a precisão dos modelos PVT utilizados nos medidores multifásicos.  </w:t>
      </w:r>
    </w:p>
    <w:p w14:paraId="3F271F48" w14:textId="2042D090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>A gestão da informação relacionada ao plano é feita com o supervisório de alocação dos poços sob escopo do sistema de medição instalado no FPSO Bacalhau, em conformidade com o item 4.6 (a–d) do Regulamento Técnico de Medição – Resolução ANP nº 44/2015. </w:t>
      </w:r>
    </w:p>
    <w:p w14:paraId="0FCDD387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>O escopo deste plano abrange todos os sistemas de medição de fluido multifásico (SGM-FM) utilizados. </w:t>
      </w:r>
    </w:p>
    <w:p w14:paraId="308A25E5" w14:textId="45EF7E51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>O Sistema de Gestão de Medição de Fluido Multifásico (SGM-FM) requer o monitoramento diário do balanço de massa entre os medidores Subsea e o medidor Topside de cada riser.  </w:t>
      </w:r>
    </w:p>
    <w:p w14:paraId="2E8345CA" w14:textId="59B7A449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>O plano aplica</w:t>
      </w:r>
      <w:r w:rsidRPr="005A7AEB">
        <w:rPr>
          <w:rFonts w:cs="Arial"/>
        </w:rPr>
        <w:t>-se às atividades de coleta de amostras realizadas: </w:t>
      </w:r>
    </w:p>
    <w:p w14:paraId="125974F4" w14:textId="77777777" w:rsidR="001A355F" w:rsidRPr="005A7AEB" w:rsidRDefault="00D63B51" w:rsidP="00352A5D">
      <w:pPr>
        <w:numPr>
          <w:ilvl w:val="0"/>
          <w:numId w:val="3"/>
        </w:numPr>
        <w:tabs>
          <w:tab w:val="clear" w:pos="720"/>
          <w:tab w:val="num" w:pos="360"/>
        </w:tabs>
        <w:spacing w:before="240" w:line="276" w:lineRule="auto"/>
        <w:ind w:left="360"/>
        <w:jc w:val="both"/>
        <w:rPr>
          <w:rFonts w:cs="Arial"/>
        </w:rPr>
      </w:pPr>
      <w:r w:rsidRPr="005A7AEB">
        <w:rPr>
          <w:rFonts w:cs="Arial"/>
        </w:rPr>
        <w:t>Nos pontos de amostragem instalados nas saídas de óleo, gás e água do separador de teste da unidade; </w:t>
      </w:r>
    </w:p>
    <w:p w14:paraId="3B2CF0B7" w14:textId="4959BAA0" w:rsidR="00D63B51" w:rsidRPr="005A7AEB" w:rsidRDefault="001A355F" w:rsidP="00352A5D">
      <w:pPr>
        <w:numPr>
          <w:ilvl w:val="0"/>
          <w:numId w:val="3"/>
        </w:numPr>
        <w:tabs>
          <w:tab w:val="clear" w:pos="720"/>
          <w:tab w:val="num" w:pos="360"/>
        </w:tabs>
        <w:spacing w:before="240" w:line="276" w:lineRule="auto"/>
        <w:ind w:left="360"/>
        <w:jc w:val="both"/>
        <w:rPr>
          <w:rFonts w:cs="Arial"/>
        </w:rPr>
      </w:pPr>
      <w:r w:rsidRPr="005A7AEB">
        <w:rPr>
          <w:rFonts w:cs="Arial"/>
        </w:rPr>
        <w:t>E</w:t>
      </w:r>
      <w:r w:rsidR="00D63B51" w:rsidRPr="005A7AEB">
        <w:rPr>
          <w:rFonts w:cs="Arial"/>
        </w:rPr>
        <w:t>m situações específicas, quando eventos de processo ou desempenho da medição indicarem necessidade de nova amostragem, conforme critérios definidos neste documento. </w:t>
      </w:r>
    </w:p>
    <w:p w14:paraId="2586F637" w14:textId="603D9808" w:rsidR="009F66E6" w:rsidRPr="005A7AEB" w:rsidRDefault="00D63B51" w:rsidP="00445922">
      <w:pPr>
        <w:spacing w:before="240" w:line="276" w:lineRule="auto"/>
        <w:jc w:val="both"/>
        <w:rPr>
          <w:rFonts w:cs="Arial"/>
        </w:rPr>
      </w:pPr>
      <w:r w:rsidRPr="005A7AEB">
        <w:rPr>
          <w:rFonts w:cs="Arial"/>
        </w:rPr>
        <w:t>A utilização dos resultados laboratoriais para atualização de dados PVT, modelos de cálculo ou qualquer outro processamento subsequente será tratada em documento específico: Anexo 3 – Plano de Atualização de Dados PVT. </w:t>
      </w:r>
    </w:p>
    <w:p w14:paraId="3C5CCC6F" w14:textId="77777777" w:rsidR="00D63B51" w:rsidRPr="005A7AEB" w:rsidRDefault="00D63B51" w:rsidP="001A355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Arial"/>
          <w:color w:val="000000"/>
        </w:rPr>
      </w:pPr>
    </w:p>
    <w:p w14:paraId="32B04631" w14:textId="77777777" w:rsidR="009F66E6" w:rsidRPr="005A7AEB" w:rsidRDefault="009F66E6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3" w:name="_Toc217108097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Referências</w:t>
      </w:r>
      <w:bookmarkEnd w:id="3"/>
    </w:p>
    <w:p w14:paraId="4C19A3B3" w14:textId="011BCB50" w:rsidR="00445922" w:rsidRPr="005A7AEB" w:rsidRDefault="00445922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API C</w:t>
      </w:r>
      <w:r w:rsidR="005A7AEB" w:rsidRPr="005A7AEB">
        <w:rPr>
          <w:rFonts w:eastAsia="Arial" w:cs="Arial"/>
          <w:color w:val="000000" w:themeColor="text1"/>
        </w:rPr>
        <w:t xml:space="preserve">hapter </w:t>
      </w:r>
      <w:r w:rsidRPr="005A7AEB">
        <w:rPr>
          <w:rFonts w:eastAsia="Arial" w:cs="Arial"/>
          <w:color w:val="000000" w:themeColor="text1"/>
        </w:rPr>
        <w:t>20.3</w:t>
      </w:r>
      <w:r w:rsidR="005A7AEB" w:rsidRPr="005A7AEB">
        <w:rPr>
          <w:rFonts w:eastAsia="Arial" w:cs="Arial"/>
          <w:color w:val="000000" w:themeColor="text1"/>
        </w:rPr>
        <w:t xml:space="preserve"> </w:t>
      </w:r>
      <w:r w:rsidRPr="005A7AEB">
        <w:rPr>
          <w:rFonts w:eastAsia="Arial" w:cs="Arial"/>
          <w:color w:val="000000" w:themeColor="text1"/>
        </w:rPr>
        <w:t>E2</w:t>
      </w:r>
      <w:r w:rsidR="005A7AEB" w:rsidRPr="005A7AEB">
        <w:rPr>
          <w:rFonts w:eastAsia="Arial" w:cs="Arial"/>
          <w:color w:val="000000" w:themeColor="text1"/>
        </w:rPr>
        <w:t xml:space="preserve"> </w:t>
      </w:r>
      <w:r w:rsidRPr="005A7AEB">
        <w:rPr>
          <w:rFonts w:eastAsia="Arial" w:cs="Arial"/>
          <w:color w:val="000000" w:themeColor="text1"/>
        </w:rPr>
        <w:t xml:space="preserve">- Measurement of </w:t>
      </w:r>
      <w:r w:rsidR="00201380" w:rsidRPr="005A7AEB">
        <w:rPr>
          <w:rFonts w:eastAsia="Arial" w:cs="Arial"/>
          <w:color w:val="000000" w:themeColor="text1"/>
        </w:rPr>
        <w:t>m</w:t>
      </w:r>
      <w:r w:rsidRPr="005A7AEB">
        <w:rPr>
          <w:rFonts w:eastAsia="Arial" w:cs="Arial"/>
          <w:color w:val="000000" w:themeColor="text1"/>
        </w:rPr>
        <w:t xml:space="preserve">ultiphase </w:t>
      </w:r>
      <w:r w:rsidR="00201380" w:rsidRPr="005A7AEB">
        <w:rPr>
          <w:rFonts w:eastAsia="Arial" w:cs="Arial"/>
          <w:color w:val="000000" w:themeColor="text1"/>
        </w:rPr>
        <w:t>f</w:t>
      </w:r>
      <w:r w:rsidRPr="005A7AEB">
        <w:rPr>
          <w:rFonts w:eastAsia="Arial" w:cs="Arial"/>
          <w:color w:val="000000" w:themeColor="text1"/>
        </w:rPr>
        <w:t>low. </w:t>
      </w:r>
    </w:p>
    <w:p w14:paraId="0EA9F58E" w14:textId="77777777" w:rsidR="00445922" w:rsidRPr="005A7AEB" w:rsidRDefault="00445922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ISO / TS 21354 - 2020-11 - Measurement of multiphase fluid flow. </w:t>
      </w:r>
    </w:p>
    <w:p w14:paraId="293DEECD" w14:textId="6B919993" w:rsidR="00445922" w:rsidRPr="005A7AEB" w:rsidRDefault="00445922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 xml:space="preserve">Handbook of multiphase metering - The </w:t>
      </w:r>
      <w:r w:rsidR="00201380" w:rsidRPr="005A7AEB">
        <w:rPr>
          <w:rFonts w:eastAsia="Arial" w:cs="Arial"/>
          <w:color w:val="000000" w:themeColor="text1"/>
        </w:rPr>
        <w:t>Norwegian</w:t>
      </w:r>
      <w:r w:rsidRPr="005A7AEB">
        <w:rPr>
          <w:rFonts w:eastAsia="Arial" w:cs="Arial"/>
          <w:color w:val="000000" w:themeColor="text1"/>
        </w:rPr>
        <w:t xml:space="preserve"> </w:t>
      </w:r>
      <w:r w:rsidR="00201380" w:rsidRPr="005A7AEB">
        <w:rPr>
          <w:rFonts w:eastAsia="Arial" w:cs="Arial"/>
          <w:color w:val="000000" w:themeColor="text1"/>
        </w:rPr>
        <w:t>s</w:t>
      </w:r>
      <w:r w:rsidRPr="005A7AEB">
        <w:rPr>
          <w:rFonts w:eastAsia="Arial" w:cs="Arial"/>
          <w:color w:val="000000" w:themeColor="text1"/>
        </w:rPr>
        <w:t xml:space="preserve">ociety for </w:t>
      </w:r>
      <w:r w:rsidR="00201380" w:rsidRPr="005A7AEB">
        <w:rPr>
          <w:rFonts w:eastAsia="Arial" w:cs="Arial"/>
          <w:color w:val="000000" w:themeColor="text1"/>
        </w:rPr>
        <w:t>o</w:t>
      </w:r>
      <w:r w:rsidRPr="005A7AEB">
        <w:rPr>
          <w:rFonts w:eastAsia="Arial" w:cs="Arial"/>
          <w:color w:val="000000" w:themeColor="text1"/>
        </w:rPr>
        <w:t xml:space="preserve">il and </w:t>
      </w:r>
      <w:r w:rsidR="00201380" w:rsidRPr="005A7AEB">
        <w:rPr>
          <w:rFonts w:eastAsia="Arial" w:cs="Arial"/>
          <w:color w:val="000000" w:themeColor="text1"/>
        </w:rPr>
        <w:t>g</w:t>
      </w:r>
      <w:r w:rsidRPr="005A7AEB">
        <w:rPr>
          <w:rFonts w:eastAsia="Arial" w:cs="Arial"/>
          <w:color w:val="000000" w:themeColor="text1"/>
        </w:rPr>
        <w:t xml:space="preserve">as </w:t>
      </w:r>
      <w:r w:rsidR="00201380" w:rsidRPr="005A7AEB">
        <w:rPr>
          <w:rFonts w:eastAsia="Arial" w:cs="Arial"/>
          <w:color w:val="000000" w:themeColor="text1"/>
        </w:rPr>
        <w:t>m</w:t>
      </w:r>
      <w:r w:rsidRPr="005A7AEB">
        <w:rPr>
          <w:rFonts w:eastAsia="Arial" w:cs="Arial"/>
          <w:color w:val="000000" w:themeColor="text1"/>
        </w:rPr>
        <w:t>easurement (2000). </w:t>
      </w:r>
    </w:p>
    <w:p w14:paraId="231EF5F7" w14:textId="7ADED386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OM101.05.08.01 - Solicitar Análises de Amostras – Upstream Offshore</w:t>
      </w:r>
      <w:r w:rsidR="008E0266">
        <w:rPr>
          <w:rFonts w:eastAsia="Arial" w:cs="Arial"/>
          <w:color w:val="000000" w:themeColor="text1"/>
        </w:rPr>
        <w:t>.</w:t>
      </w:r>
    </w:p>
    <w:p w14:paraId="75CEC5FD" w14:textId="44B7F7F0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OM101.05.08.02 - Preparar Plano de Análise para Laboratório – Upstream Offshore</w:t>
      </w:r>
      <w:r w:rsidR="008E0266">
        <w:rPr>
          <w:rFonts w:eastAsia="Arial" w:cs="Arial"/>
          <w:color w:val="000000" w:themeColor="text1"/>
        </w:rPr>
        <w:t>.</w:t>
      </w:r>
    </w:p>
    <w:p w14:paraId="188E8322" w14:textId="49AA1991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OM101.05.08.03 - Executar Coleta de Amostras – Upstream Offshore</w:t>
      </w:r>
      <w:r w:rsidR="008E0266">
        <w:rPr>
          <w:rFonts w:eastAsia="Arial" w:cs="Arial"/>
          <w:color w:val="000000" w:themeColor="text1"/>
        </w:rPr>
        <w:t>.</w:t>
      </w:r>
    </w:p>
    <w:p w14:paraId="2E496B85" w14:textId="77777777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Resolução ANP nº 44/2015 – Regulamento Técnico de Medição de Fluidos Multifásicos. </w:t>
      </w:r>
    </w:p>
    <w:p w14:paraId="51AEA1AF" w14:textId="77777777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Anexo 1 – Plano de Verificação de Desempenho. </w:t>
      </w:r>
    </w:p>
    <w:p w14:paraId="337DA4A5" w14:textId="77777777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Anexo 3 – Plano de Atualização de Dados PVT. </w:t>
      </w:r>
    </w:p>
    <w:p w14:paraId="76222142" w14:textId="77777777" w:rsidR="00D63B51" w:rsidRPr="005A7AEB" w:rsidRDefault="00D63B51" w:rsidP="00352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6" w:lineRule="auto"/>
        <w:ind w:left="360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Procedimentos operacionais da unidade para: </w:t>
      </w:r>
    </w:p>
    <w:p w14:paraId="1662E095" w14:textId="77777777" w:rsidR="00D63B51" w:rsidRPr="005A7AEB" w:rsidRDefault="00D63B51" w:rsidP="00352A5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Operação do separador de teste; </w:t>
      </w:r>
    </w:p>
    <w:p w14:paraId="6A4E747D" w14:textId="77777777" w:rsidR="00D63B51" w:rsidRPr="005A7AEB" w:rsidRDefault="00D63B51" w:rsidP="00352A5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Coleta de amostras de processo; </w:t>
      </w:r>
    </w:p>
    <w:p w14:paraId="5EDB6E2F" w14:textId="7B4F4616" w:rsidR="00D63B51" w:rsidRPr="005A7AEB" w:rsidRDefault="00D63B51" w:rsidP="00352A5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Logística de envio de amostras a laboratório. </w:t>
      </w:r>
    </w:p>
    <w:p w14:paraId="173A2951" w14:textId="77777777" w:rsidR="00445922" w:rsidRPr="005A7AEB" w:rsidRDefault="00445922" w:rsidP="004459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cs="Arial"/>
          <w:color w:val="000000"/>
        </w:rPr>
      </w:pPr>
    </w:p>
    <w:p w14:paraId="5C2B2A1B" w14:textId="77777777" w:rsidR="005A7AEB" w:rsidRPr="005A7AEB" w:rsidRDefault="005A7AEB" w:rsidP="004459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cs="Arial"/>
          <w:color w:val="000000"/>
        </w:rPr>
      </w:pPr>
    </w:p>
    <w:p w14:paraId="6E3BBF0C" w14:textId="77777777" w:rsidR="009F66E6" w:rsidRPr="005A7AEB" w:rsidRDefault="009F66E6" w:rsidP="00445922">
      <w:pPr>
        <w:spacing w:line="276" w:lineRule="auto"/>
        <w:rPr>
          <w:rFonts w:cs="Arial"/>
          <w:sz w:val="6"/>
          <w:szCs w:val="6"/>
        </w:rPr>
      </w:pPr>
    </w:p>
    <w:p w14:paraId="705B4AF4" w14:textId="36265DF7" w:rsidR="009F66E6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4" w:name="_Toc217108098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Metodologia de Coleta e Pontos de Amostragem</w:t>
      </w:r>
      <w:bookmarkEnd w:id="4"/>
    </w:p>
    <w:p w14:paraId="5264DF95" w14:textId="07C79377" w:rsidR="00E50679" w:rsidRPr="005A7AEB" w:rsidRDefault="00D63B51" w:rsidP="00F86D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 xml:space="preserve">As </w:t>
      </w:r>
      <w:r w:rsidRPr="005A7AEB">
        <w:rPr>
          <w:rFonts w:eastAsia="Arial" w:cs="Arial"/>
          <w:color w:val="000000" w:themeColor="text1"/>
        </w:rPr>
        <w:t>instruções</w:t>
      </w:r>
      <w:r w:rsidRPr="005A7AEB">
        <w:rPr>
          <w:rFonts w:eastAsia="Arial" w:cs="Arial"/>
          <w:color w:val="000000"/>
        </w:rPr>
        <w:t xml:space="preserve"> corporativas citadas no item anterior detalham as atividades de maior relevância para um processo de coleta de amostras: solicitar análises, preparar plano de análise e executar coleta </w:t>
      </w:r>
      <w:r w:rsidRPr="005A7AEB">
        <w:rPr>
          <w:rFonts w:eastAsia="Arial" w:cs="Arial"/>
          <w:color w:val="000000"/>
        </w:rPr>
        <w:lastRenderedPageBreak/>
        <w:t>de amostras.  </w:t>
      </w:r>
      <w:r w:rsidR="00235629" w:rsidRPr="005A7AEB">
        <w:rPr>
          <w:rFonts w:eastAsia="Arial" w:cs="Arial"/>
          <w:color w:val="000000"/>
        </w:rPr>
        <w:t>O detalhamento das tarefas para as atividades apresentadas não está</w:t>
      </w:r>
      <w:r w:rsidRPr="005A7AEB">
        <w:rPr>
          <w:rFonts w:eastAsia="Arial" w:cs="Arial"/>
          <w:color w:val="000000"/>
        </w:rPr>
        <w:t xml:space="preserve"> </w:t>
      </w:r>
      <w:r w:rsidR="005A7AEB" w:rsidRPr="005A7AEB">
        <w:rPr>
          <w:rFonts w:eastAsia="Arial" w:cs="Arial"/>
          <w:color w:val="000000"/>
        </w:rPr>
        <w:t>reproduzido</w:t>
      </w:r>
      <w:r w:rsidRPr="005A7AEB">
        <w:rPr>
          <w:rFonts w:eastAsia="Arial" w:cs="Arial"/>
          <w:color w:val="000000"/>
        </w:rPr>
        <w:t xml:space="preserve"> neste plano</w:t>
      </w:r>
      <w:r w:rsidR="00235629" w:rsidRPr="005A7AEB">
        <w:rPr>
          <w:rFonts w:eastAsia="Arial" w:cs="Arial"/>
          <w:color w:val="000000"/>
        </w:rPr>
        <w:t>; estas são gerenciadas pela uni</w:t>
      </w:r>
      <w:r w:rsidR="00201380" w:rsidRPr="005A7AEB">
        <w:rPr>
          <w:rFonts w:eastAsia="Arial" w:cs="Arial"/>
          <w:color w:val="000000"/>
        </w:rPr>
        <w:t>dade de produção.</w:t>
      </w:r>
    </w:p>
    <w:p w14:paraId="6C8B4245" w14:textId="77777777" w:rsidR="00235629" w:rsidRPr="005A7AEB" w:rsidRDefault="00235629" w:rsidP="00F86D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</w:p>
    <w:p w14:paraId="15874059" w14:textId="3D09EE69" w:rsidR="00D63B51" w:rsidRPr="005A7AEB" w:rsidRDefault="00D63B51" w:rsidP="00F86D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5A7AEB">
        <w:rPr>
          <w:rFonts w:eastAsia="Arial" w:cs="Arial"/>
          <w:color w:val="000000"/>
        </w:rPr>
        <w:t xml:space="preserve">As amostras utilizadas no âmbito do SGM-FM são coletadas nas saídas de </w:t>
      </w:r>
      <w:r w:rsidRPr="005A7AEB">
        <w:rPr>
          <w:rFonts w:eastAsia="Arial" w:cs="Arial"/>
          <w:color w:val="000000" w:themeColor="text1"/>
        </w:rPr>
        <w:t>óleo, gás e água do separador de teste, em pontos de amostragem definidos para este fim. </w:t>
      </w:r>
    </w:p>
    <w:p w14:paraId="53D84B51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Cada atividade de coleta de amostras deve, no mínimo, contemplar: </w:t>
      </w:r>
    </w:p>
    <w:p w14:paraId="2BCE4569" w14:textId="77777777" w:rsidR="00D63B51" w:rsidRPr="005A7AEB" w:rsidRDefault="00D63B51" w:rsidP="00352A5D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Definição prévia dos poços/risers e condições operacionais que se pretende representar; </w:t>
      </w:r>
    </w:p>
    <w:p w14:paraId="3A614ACF" w14:textId="77777777" w:rsidR="001A355F" w:rsidRPr="005A7AEB" w:rsidRDefault="001A355F" w:rsidP="001A355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1E7EFE58" w14:textId="77777777" w:rsidR="001A355F" w:rsidRPr="005A7AEB" w:rsidRDefault="00D63B51" w:rsidP="001A355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Alinhamento do(s) poço(s) ao separador de teste e estabilização das condições de processo, conforme procedimento operacional da unidade; </w:t>
      </w:r>
    </w:p>
    <w:p w14:paraId="08F03A9B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71681CE2" w14:textId="77777777" w:rsidR="001A355F" w:rsidRPr="005A7AEB" w:rsidRDefault="00D63B51" w:rsidP="001A355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Coleta das amostras nas saídas de óleo, gás e água, utilizando frascos ou cilindros adequados e volumes mínimos especificados em contrato com o laboratório; </w:t>
      </w:r>
    </w:p>
    <w:p w14:paraId="4228FE17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75BBC81A" w14:textId="77777777" w:rsidR="001A355F" w:rsidRPr="005A7AEB" w:rsidRDefault="00D63B51" w:rsidP="001A355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Identificação clara de cada amostra (unidade, poço(s)/riser, ponto de amostragem, data/hora, condições de operação, motivo da coleta); </w:t>
      </w:r>
    </w:p>
    <w:p w14:paraId="3FF87DC3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68B43377" w14:textId="77777777" w:rsidR="001A355F" w:rsidRPr="005A7AEB" w:rsidRDefault="00D63B51" w:rsidP="001A355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Registro em formulário de cadeia de custódia ou equivalente; </w:t>
      </w:r>
    </w:p>
    <w:p w14:paraId="64274B46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10A04A01" w14:textId="4760D410" w:rsidR="00D63B51" w:rsidRPr="005A7AEB" w:rsidRDefault="00D63B51" w:rsidP="001A355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Armazenamento temporário adequado e envio ao laboratório dentro dos prazos acordados. </w:t>
      </w:r>
    </w:p>
    <w:p w14:paraId="3922CAA9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</w:p>
    <w:p w14:paraId="71535B3B" w14:textId="7C94220E" w:rsidR="00D63B51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5" w:name="_Toc217108099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Metodologia de Acionamento das Coletas</w:t>
      </w:r>
      <w:bookmarkEnd w:id="5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 </w:t>
      </w:r>
    </w:p>
    <w:p w14:paraId="25DFE7D6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 metodologia principal que define a periodicidade da coleta de amostra baseia-se nos eventos e condições de processo; como metologia suplementar, definiu-se uma janela periódica que analisa a necessidade de se realizar ou não uma coleta.  Isto significa que na eminência da janela da análise crítica de coleta, a Função Metrológica avalia a necessidade de realizar a coleta e a análise do fluido.   </w:t>
      </w:r>
    </w:p>
    <w:p w14:paraId="06ED77FB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Os prazos para avaliação periódica da necessidade de coletar uma amostra para PVT são: </w:t>
      </w:r>
    </w:p>
    <w:p w14:paraId="5F2081EB" w14:textId="77777777" w:rsidR="00D63B51" w:rsidRPr="005A7AEB" w:rsidRDefault="00D63B51" w:rsidP="00352A5D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MPFM Topside: 6 meses, caso nenhum gatilho tenha seja atingido; </w:t>
      </w:r>
    </w:p>
    <w:p w14:paraId="0911ABD9" w14:textId="77777777" w:rsidR="001A355F" w:rsidRPr="005A7AEB" w:rsidRDefault="001A355F" w:rsidP="001A355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0DD333C8" w14:textId="67846A25" w:rsidR="00D63B51" w:rsidRPr="005A7AEB" w:rsidRDefault="00D63B51" w:rsidP="00352A5D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MPFM Subsea: 1 ano, caso nenhum gatilho tenha seja atingido. </w:t>
      </w:r>
    </w:p>
    <w:p w14:paraId="7A76439D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 necessidade para realizar uma nova coleta de amostras é indicada sempre que: </w:t>
      </w:r>
    </w:p>
    <w:p w14:paraId="260CD493" w14:textId="77777777" w:rsidR="00D63B51" w:rsidRPr="005A7AEB" w:rsidRDefault="00D63B51" w:rsidP="00352A5D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Indicadores de desempenho da medição multifásica, definidos no Plano de Verificação de Desempenho (Anexo 1), apresentarem desenquadramento ou tendência de degradação; </w:t>
      </w:r>
    </w:p>
    <w:p w14:paraId="72194AAB" w14:textId="77777777" w:rsidR="001A355F" w:rsidRPr="005A7AEB" w:rsidRDefault="001A355F" w:rsidP="001A355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0603BFC4" w14:textId="77777777" w:rsidR="001A355F" w:rsidRPr="005A7AEB" w:rsidRDefault="00D63B51" w:rsidP="001A355F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Ocorrerem mudanças relevantes nas condições de escoamento ou na composição esperada do fluido;</w:t>
      </w:r>
    </w:p>
    <w:p w14:paraId="58E08364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250F779E" w14:textId="37099772" w:rsidR="00D63B51" w:rsidRPr="005A7AEB" w:rsidRDefault="00D63B51" w:rsidP="001A355F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Houver eventos de integridade ou manutenção em medidores multifásicos e equipamentos de processo que possam afetar a confiabilidade da medição. </w:t>
      </w:r>
    </w:p>
    <w:p w14:paraId="5D6CA46A" w14:textId="2E453806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lastRenderedPageBreak/>
        <w:t xml:space="preserve">A </w:t>
      </w:r>
      <w:r w:rsidR="00D34901">
        <w:rPr>
          <w:rFonts w:eastAsia="Arial" w:cs="Arial"/>
          <w:color w:val="000000" w:themeColor="text1"/>
        </w:rPr>
        <w:t>F</w:t>
      </w:r>
      <w:r w:rsidRPr="005A7AEB">
        <w:rPr>
          <w:rFonts w:eastAsia="Arial" w:cs="Arial"/>
          <w:color w:val="000000" w:themeColor="text1"/>
        </w:rPr>
        <w:t xml:space="preserve">unção </w:t>
      </w:r>
      <w:r w:rsidR="005C28B5">
        <w:rPr>
          <w:rFonts w:eastAsia="Arial" w:cs="Arial"/>
          <w:color w:val="000000" w:themeColor="text1"/>
        </w:rPr>
        <w:t>M</w:t>
      </w:r>
      <w:r w:rsidR="005C28B5" w:rsidRPr="005A7AEB">
        <w:rPr>
          <w:rFonts w:eastAsia="Arial" w:cs="Arial"/>
          <w:color w:val="000000" w:themeColor="text1"/>
        </w:rPr>
        <w:t>etrológica</w:t>
      </w:r>
      <w:r w:rsidRPr="005A7AEB">
        <w:rPr>
          <w:rFonts w:eastAsia="Arial" w:cs="Arial"/>
          <w:color w:val="000000" w:themeColor="text1"/>
        </w:rPr>
        <w:t> monitora esses eventos/condições e, quando algum critério objetivo de acionamento for atendido (Seção 5), deve decidir pela realização de nova coleta de amostras, registrando: </w:t>
      </w:r>
    </w:p>
    <w:p w14:paraId="2BEC634E" w14:textId="77777777" w:rsidR="00D63B51" w:rsidRPr="005A7AEB" w:rsidRDefault="00D63B51" w:rsidP="00352A5D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Evento que motivou a decisão; </w:t>
      </w:r>
    </w:p>
    <w:p w14:paraId="180DBF16" w14:textId="77777777" w:rsidR="001A355F" w:rsidRPr="005A7AEB" w:rsidRDefault="001A355F" w:rsidP="001A355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675B4D80" w14:textId="77777777" w:rsidR="001A355F" w:rsidRPr="005A7AEB" w:rsidRDefault="00D63B51" w:rsidP="001A355F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Data/horário; </w:t>
      </w:r>
    </w:p>
    <w:p w14:paraId="34B91B57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5D89AC8D" w14:textId="77777777" w:rsidR="001A355F" w:rsidRPr="005A7AEB" w:rsidRDefault="00D63B51" w:rsidP="001A355F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Poços/risers envolvidos; </w:t>
      </w:r>
    </w:p>
    <w:p w14:paraId="05AD8C6C" w14:textId="77777777" w:rsidR="001A355F" w:rsidRPr="005A7AEB" w:rsidRDefault="001A355F" w:rsidP="001A355F">
      <w:pPr>
        <w:pStyle w:val="PargrafodaLista"/>
        <w:rPr>
          <w:rFonts w:eastAsia="Arial" w:cs="Arial"/>
          <w:color w:val="000000" w:themeColor="text1"/>
        </w:rPr>
      </w:pPr>
    </w:p>
    <w:p w14:paraId="785698A3" w14:textId="35DF95FC" w:rsidR="00D63B51" w:rsidRPr="005A7AEB" w:rsidRDefault="00D63B51" w:rsidP="001A355F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Responsáveis. </w:t>
      </w:r>
    </w:p>
    <w:p w14:paraId="3A7D9AE9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</w:p>
    <w:p w14:paraId="2D2A8ECA" w14:textId="77777777" w:rsidR="00D63B51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6" w:name="_Toc217108100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Critérios Objetivos para Acionamento da Coleta</w:t>
      </w:r>
      <w:bookmarkEnd w:id="6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 </w:t>
      </w:r>
    </w:p>
    <w:p w14:paraId="54B4B2AC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São considerados critérios objetivos para determinar que uma nova coleta de amostras é necessária: </w:t>
      </w:r>
    </w:p>
    <w:p w14:paraId="6EAEDB58" w14:textId="51ED663F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7" w:name="_Toc217108101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Desempenho da medição (indicadores do Anexo 1)</w:t>
      </w:r>
      <w:bookmarkEnd w:id="7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4521A6D2" w14:textId="77777777" w:rsidR="00D63B51" w:rsidRPr="005A7AEB" w:rsidRDefault="00D63B51" w:rsidP="00352A5D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Indicadores de desempenho do sistema de medição multifásica, definidos no Plano de Verificação de Desempenho (Anexo 1), atingirem condição de desenquadramento ou tendência de degradação, tais como: </w:t>
      </w:r>
    </w:p>
    <w:p w14:paraId="370996D6" w14:textId="35F5BF8C" w:rsidR="00D63B51" w:rsidRPr="005A7AEB" w:rsidRDefault="00D63B51" w:rsidP="00352A5D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Desvios persistentes em balanços ou reconciliações definidos naquele plano;</w:t>
      </w:r>
    </w:p>
    <w:p w14:paraId="3FE7E461" w14:textId="2B3754D8" w:rsidR="00445922" w:rsidRPr="005A7AEB" w:rsidRDefault="00D63B51" w:rsidP="00352A5D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Outros indicadores específicos de desempenho estabelecidos para os medidores multifásicos. </w:t>
      </w:r>
    </w:p>
    <w:p w14:paraId="36E2CD96" w14:textId="77777777" w:rsidR="00445922" w:rsidRPr="005A7AEB" w:rsidRDefault="00445922" w:rsidP="0044592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</w:p>
    <w:p w14:paraId="5CB34B1A" w14:textId="77777777" w:rsidR="00D63B51" w:rsidRPr="005A7AEB" w:rsidRDefault="00D63B51" w:rsidP="00352A5D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Os limites numéricos e lógicas de persistência (por exemplo, valores de desvio e janelas de tempo) são os mesmos estabelecidos no Anexo 1, garantindo coerência entre os planos. </w:t>
      </w:r>
    </w:p>
    <w:p w14:paraId="6554FEE2" w14:textId="6B2B93E7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8" w:name="_Toc217108102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Mudança relevante de processo ou fluido</w:t>
      </w:r>
      <w:bookmarkEnd w:id="8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08C30729" w14:textId="77777777" w:rsidR="00D63B51" w:rsidRPr="005A7AEB" w:rsidRDefault="00D63B51" w:rsidP="00352A5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Entrada em produção de poço ou combinação de poços com expectativa de fluido significativamente diferente (por exemplo, mudança acentuada de BSW, GOR ou salinidade); </w:t>
      </w:r>
    </w:p>
    <w:p w14:paraId="1BD23CB5" w14:textId="77777777" w:rsidR="00445922" w:rsidRPr="005A7AEB" w:rsidRDefault="00445922" w:rsidP="0044592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3CF66851" w14:textId="77777777" w:rsidR="00D63B51" w:rsidRPr="005A7AEB" w:rsidRDefault="00D63B51" w:rsidP="00352A5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Alterações importantes no arranjo de produção (Operação de Gás Lift, interligações, desvio de poços, mudanças de malha) que possam impactar o comportamento do fluido e a representatividade dos dados anteriores. </w:t>
      </w:r>
    </w:p>
    <w:p w14:paraId="540CBCA6" w14:textId="26479D72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9" w:name="_Toc217108103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Eventos de integridade / manutenção</w:t>
      </w:r>
      <w:bookmarkEnd w:id="9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07AE0240" w14:textId="77777777" w:rsidR="00D63B51" w:rsidRPr="005A7AEB" w:rsidRDefault="00D63B51" w:rsidP="00352A5D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Ocorrência de falhas, intervenções significativas ou suspeita de desempenho inadequado em medidores multifásicos ou instrumentos associados; </w:t>
      </w:r>
    </w:p>
    <w:p w14:paraId="7BDD2B75" w14:textId="77777777" w:rsidR="00445922" w:rsidRPr="005A7AEB" w:rsidRDefault="00445922" w:rsidP="0044592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399911D7" w14:textId="77777777" w:rsidR="00D63B51" w:rsidRPr="005A7AEB" w:rsidRDefault="00D63B51" w:rsidP="00352A5D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Ajustes, substituições ou mudanças de configuração de equipamentos que possam afetar diretamente a medição multifásica. </w:t>
      </w:r>
    </w:p>
    <w:p w14:paraId="404E2E9C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Sempre que um ou mais desses critérios forem atendidos, a Função Metrológica deve analisar a necessidade de coleta de novas amostras, com base neste plano, e registrar a decisão (realizar ou não realizar a coleta) com sua justificativa. </w:t>
      </w:r>
    </w:p>
    <w:p w14:paraId="605476B7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lastRenderedPageBreak/>
        <w:t>As variáveis-chave para essa verificação são a vazão mássica de hidrocarbonetos e a vazão mássica total. Optamos por essas variáveis porque a medição de massa é independente dos modelos termodinâmicos (PVT) e de suas inerentes incertezas, fornecendo um diagnóstico robusto e direto do desempenho do sistema. </w:t>
      </w:r>
    </w:p>
    <w:p w14:paraId="235B3A20" w14:textId="53DA1AF8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</w:p>
    <w:p w14:paraId="7DD1A9D3" w14:textId="77777777" w:rsidR="00D63B51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0" w:name="_Toc217108104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Justificativas</w:t>
      </w:r>
      <w:bookmarkEnd w:id="10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 </w:t>
      </w:r>
    </w:p>
    <w:p w14:paraId="6F6CF970" w14:textId="77777777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11" w:name="_Toc217108105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Justificativa da Periodicidade</w:t>
      </w:r>
      <w:bookmarkEnd w:id="11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42AA2C35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 opção por periodicidade baseada em eventos e por prazos fixos para avaliar a necessidade de realizar uma coleta é justificada pelos seguintes pontos: </w:t>
      </w:r>
    </w:p>
    <w:p w14:paraId="53A0B785" w14:textId="77777777" w:rsidR="00445922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 coleta de amostras tem impacto operacional e logístico relevante, especialmente em ambiente offshore; </w:t>
      </w:r>
    </w:p>
    <w:p w14:paraId="2F7FC9FA" w14:textId="77777777" w:rsidR="00445922" w:rsidRPr="005A7AEB" w:rsidRDefault="00445922" w:rsidP="0044592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78588198" w14:textId="0FB2A641" w:rsidR="00445922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 desempenho da medição e as características do fluido podem permanecer estáveis por longos períodos, tornando coletas "periódicas obrigatórias" desnecessárias; </w:t>
      </w:r>
    </w:p>
    <w:p w14:paraId="767098CE" w14:textId="77777777" w:rsidR="00445922" w:rsidRPr="005A7AEB" w:rsidRDefault="00445922" w:rsidP="00445922">
      <w:pPr>
        <w:pStyle w:val="PargrafodaLista"/>
        <w:rPr>
          <w:rFonts w:eastAsia="Arial" w:cs="Arial"/>
          <w:color w:val="000000" w:themeColor="text1"/>
        </w:rPr>
      </w:pPr>
    </w:p>
    <w:p w14:paraId="3AB30B17" w14:textId="1F32BBBA" w:rsidR="00D63B51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Quando há alteração relevante de desempenho ou de processo (desenquadramento de indicadores, mudanças de regime, intervenções em medidores), há necessidade imediata de avaliar novamente as amostras, independentemente do tempo desde a coleta anterior. </w:t>
      </w:r>
    </w:p>
    <w:p w14:paraId="01BD56F6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Com isso, a periodicidade efetiva das coletas fica em função dos itens abaixo: </w:t>
      </w:r>
    </w:p>
    <w:p w14:paraId="57BDDA88" w14:textId="77777777" w:rsidR="00D63B51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Da estabilidade do sistema (menos eventos → menos coletas); </w:t>
      </w:r>
    </w:p>
    <w:p w14:paraId="79D75D2F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297571F8" w14:textId="77777777" w:rsidR="00D63B51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Da ocorrência de eventos significativos (mais eventos → mais coletas), em linha com os critérios objetivos da Seção 5. </w:t>
      </w:r>
    </w:p>
    <w:p w14:paraId="19A20A6B" w14:textId="77777777" w:rsidR="00D63B51" w:rsidRPr="005A7AEB" w:rsidRDefault="00D63B51" w:rsidP="00352A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Vale ressaltar que a periodicidade definida para avaliarmos a necessidade para realizarmos uma coleta, torna-se um elemento de monitoramento do processo que é específico para a garantia do uso de parâmetros analíticos atualizados. </w:t>
      </w:r>
    </w:p>
    <w:p w14:paraId="78765DBF" w14:textId="77777777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12" w:name="_Toc217108106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Justificativa dos Critérios Escolhidos</w:t>
      </w:r>
      <w:bookmarkEnd w:id="12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6FF74F09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Os critérios definidos acima foram escolhidos para: </w:t>
      </w:r>
    </w:p>
    <w:p w14:paraId="7DA006C6" w14:textId="77777777" w:rsidR="00D63B51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Vincular a realização de novas coletas a variáveis mensuráveis, já estabelecidas e documentados no Plano de Verificação de Desempenho (Anexo 1); </w:t>
      </w:r>
    </w:p>
    <w:p w14:paraId="44421D43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7F30D987" w14:textId="77777777" w:rsidR="00D63B51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Focar em situações em que exista risco real de alteração do fluido ou de degradação da medição, como: </w:t>
      </w:r>
    </w:p>
    <w:p w14:paraId="10161D23" w14:textId="77777777" w:rsidR="00D63B51" w:rsidRPr="005A7AEB" w:rsidRDefault="00D63B51" w:rsidP="00352A5D">
      <w:pPr>
        <w:pStyle w:val="Pargrafoda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Desvios persistentes em balanços e reconciliações; </w:t>
      </w:r>
    </w:p>
    <w:p w14:paraId="3B687C64" w14:textId="77777777" w:rsidR="00D63B51" w:rsidRPr="005A7AEB" w:rsidRDefault="00D63B51" w:rsidP="00352A5D">
      <w:pPr>
        <w:pStyle w:val="Pargrafoda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Mudanças de regime de operação dos processos; </w:t>
      </w:r>
    </w:p>
    <w:p w14:paraId="3278D668" w14:textId="77777777" w:rsidR="00D63B51" w:rsidRPr="005A7AEB" w:rsidRDefault="00D63B51" w:rsidP="00352A5D">
      <w:pPr>
        <w:pStyle w:val="Pargrafoda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Intervenções e eventos de integridade nos medidores e sistemas de medição. </w:t>
      </w:r>
    </w:p>
    <w:p w14:paraId="3E895B1C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80"/>
        <w:jc w:val="both"/>
        <w:rPr>
          <w:rFonts w:eastAsia="Arial" w:cs="Arial"/>
          <w:color w:val="000000" w:themeColor="text1"/>
        </w:rPr>
      </w:pPr>
    </w:p>
    <w:p w14:paraId="60C61198" w14:textId="77777777" w:rsidR="00D63B51" w:rsidRPr="005A7AEB" w:rsidRDefault="00D63B51" w:rsidP="00352A5D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Permitir que a decisão de coletar seja tomada com base em dados tecnicamente válidos e disponibilizados nos sistemas de informação (supervisório) do SGM-FM. </w:t>
      </w:r>
    </w:p>
    <w:p w14:paraId="5F6FCF5D" w14:textId="77777777" w:rsidR="00352A5D" w:rsidRPr="005A7AEB" w:rsidRDefault="00352A5D" w:rsidP="00352A5D">
      <w:pPr>
        <w:spacing w:after="240" w:line="276" w:lineRule="auto"/>
        <w:ind w:left="60"/>
        <w:rPr>
          <w:rFonts w:cs="Arial"/>
        </w:rPr>
      </w:pPr>
    </w:p>
    <w:p w14:paraId="2ADF0E9B" w14:textId="77777777" w:rsidR="00D63B51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3" w:name="_Toc217108107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Logística e Registros</w:t>
      </w:r>
      <w:bookmarkEnd w:id="13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 </w:t>
      </w:r>
    </w:p>
    <w:p w14:paraId="4A402BDF" w14:textId="77777777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14" w:name="_Toc217108108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Logística das amostras</w:t>
      </w:r>
      <w:bookmarkEnd w:id="14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1ADFE281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As áreas responsáveis (Departamento de Medição, Operação, Logística e Laboratório) asseguram que: </w:t>
      </w:r>
    </w:p>
    <w:p w14:paraId="1A013633" w14:textId="77777777" w:rsidR="00D63B51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Haja disponibilidade de materiais de amostragem (frascos/cilindros, etiquetas, caixas de transporte) em quantidade e especificações adequadas; </w:t>
      </w:r>
    </w:p>
    <w:p w14:paraId="14B6DD10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6F1FA90A" w14:textId="77777777" w:rsidR="00352A5D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 transporte das amostras ao laboratório seja realizado dentro dos prazos acordados e em condições que preservem a integridade e rastreabilidade; </w:t>
      </w:r>
    </w:p>
    <w:p w14:paraId="2CA4E4B0" w14:textId="77777777" w:rsidR="00352A5D" w:rsidRPr="005A7AEB" w:rsidRDefault="00352A5D" w:rsidP="00352A5D">
      <w:pPr>
        <w:pStyle w:val="PargrafodaLista"/>
        <w:rPr>
          <w:rFonts w:eastAsia="Arial" w:cs="Arial"/>
          <w:color w:val="000000" w:themeColor="text1"/>
        </w:rPr>
      </w:pPr>
    </w:p>
    <w:p w14:paraId="0FDF5B36" w14:textId="5E1BE4A6" w:rsidR="00D63B51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Eventuais intercorrências (vazamento, identificação inadequada, volume insuficiente, amostra danificada) são registradas e tratadas. </w:t>
      </w:r>
    </w:p>
    <w:p w14:paraId="06BAE509" w14:textId="77777777" w:rsidR="00D63B51" w:rsidRPr="005A7AEB" w:rsidRDefault="00D63B51" w:rsidP="00352A5D">
      <w:pPr>
        <w:pStyle w:val="Ttulo2"/>
        <w:numPr>
          <w:ilvl w:val="1"/>
          <w:numId w:val="2"/>
        </w:numPr>
        <w:spacing w:line="276" w:lineRule="auto"/>
        <w:ind w:left="993" w:hanging="633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15" w:name="_Toc217108109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Registros mínimos</w:t>
      </w:r>
      <w:bookmarkEnd w:id="15"/>
      <w:r w:rsidRPr="005A7AE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4AF14982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São registrados e mantidos: </w:t>
      </w:r>
    </w:p>
    <w:p w14:paraId="259DE5C2" w14:textId="77777777" w:rsidR="00D63B51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Registros dos eventos/condições que motivaram a avaliação da necessidade de coleta (ver registro de monitoramento diário); </w:t>
      </w:r>
    </w:p>
    <w:p w14:paraId="3AB9A5A1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574C0256" w14:textId="77777777" w:rsidR="00352A5D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Registro da decisão de coletar (ver registro de monitoramento diário); </w:t>
      </w:r>
    </w:p>
    <w:p w14:paraId="1A028791" w14:textId="77777777" w:rsidR="00352A5D" w:rsidRPr="005A7AEB" w:rsidRDefault="00352A5D" w:rsidP="00352A5D">
      <w:pPr>
        <w:pStyle w:val="PargrafodaLista"/>
        <w:rPr>
          <w:rFonts w:eastAsia="Arial" w:cs="Arial"/>
          <w:color w:val="000000" w:themeColor="text1"/>
        </w:rPr>
      </w:pPr>
    </w:p>
    <w:p w14:paraId="55C6B154" w14:textId="77777777" w:rsidR="00352A5D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cs="Arial"/>
        </w:rPr>
      </w:pPr>
      <w:r w:rsidRPr="005A7AEB">
        <w:rPr>
          <w:rFonts w:eastAsia="Arial" w:cs="Arial"/>
          <w:color w:val="000000" w:themeColor="text1"/>
        </w:rPr>
        <w:t>Laudos laboratoriais associados às coletas; </w:t>
      </w:r>
    </w:p>
    <w:p w14:paraId="428DBB42" w14:textId="77777777" w:rsidR="00352A5D" w:rsidRPr="005A7AEB" w:rsidRDefault="00352A5D" w:rsidP="00352A5D">
      <w:pPr>
        <w:pStyle w:val="PargrafodaLista"/>
        <w:rPr>
          <w:rFonts w:eastAsia="Arial" w:cs="Arial"/>
          <w:color w:val="000000" w:themeColor="text1"/>
        </w:rPr>
      </w:pPr>
    </w:p>
    <w:p w14:paraId="6F23A590" w14:textId="2F045F3F" w:rsidR="00D63B51" w:rsidRPr="005A7AEB" w:rsidRDefault="00D63B51" w:rsidP="00352A5D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cs="Arial"/>
        </w:rPr>
      </w:pPr>
      <w:r w:rsidRPr="005A7AEB">
        <w:rPr>
          <w:rFonts w:eastAsia="Arial" w:cs="Arial"/>
          <w:color w:val="000000" w:themeColor="text1"/>
        </w:rPr>
        <w:t>Vínculo entre laudos e decisões subsequentes no SGM-FM (por exemplo, evidencia de</w:t>
      </w:r>
      <w:r w:rsidRPr="005A7AEB">
        <w:rPr>
          <w:rFonts w:cs="Arial"/>
        </w:rPr>
        <w:t> atualização de dados PVT - ver Anexo 3). </w:t>
      </w:r>
    </w:p>
    <w:p w14:paraId="658EF1CF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cs="Arial"/>
        </w:rPr>
      </w:pPr>
    </w:p>
    <w:p w14:paraId="45936B24" w14:textId="77777777" w:rsidR="00D63B51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6" w:name="_Toc217108110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Responsabilidades</w:t>
      </w:r>
      <w:bookmarkEnd w:id="16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 </w:t>
      </w:r>
    </w:p>
    <w:p w14:paraId="73AB9348" w14:textId="121690DD" w:rsidR="00D34901" w:rsidRDefault="00D34901" w:rsidP="00BF0E1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b/>
          <w:bCs/>
          <w:color w:val="000000" w:themeColor="text1"/>
        </w:rPr>
      </w:pPr>
      <w:r>
        <w:rPr>
          <w:rFonts w:eastAsia="Arial" w:cs="Arial"/>
          <w:b/>
          <w:bCs/>
          <w:color w:val="000000" w:themeColor="text1"/>
        </w:rPr>
        <w:t>Fazem parte da Função Metrológica:</w:t>
      </w:r>
    </w:p>
    <w:p w14:paraId="43821839" w14:textId="1D9EE45D" w:rsidR="00D63B51" w:rsidRPr="00D34901" w:rsidRDefault="00D63B51" w:rsidP="00D34901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b/>
          <w:bCs/>
          <w:color w:val="000000" w:themeColor="text1"/>
        </w:rPr>
      </w:pPr>
      <w:r w:rsidRPr="00D34901">
        <w:rPr>
          <w:rFonts w:eastAsia="Arial" w:cs="Arial"/>
          <w:b/>
          <w:bCs/>
          <w:color w:val="000000" w:themeColor="text1"/>
        </w:rPr>
        <w:t>Departamento de Medição </w:t>
      </w:r>
    </w:p>
    <w:p w14:paraId="70E81BDE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Monitorar os indicadores e eventos que possam demandar novas coletas, conforme Anexo 1 e este plano; </w:t>
      </w:r>
    </w:p>
    <w:p w14:paraId="138219B3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Decidir pela realização de coletas quando critérios objetivos forem atendidos; </w:t>
      </w:r>
    </w:p>
    <w:p w14:paraId="012099DC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Planejar as atividades de coleta e garantir que os registros sejam mantidos. </w:t>
      </w:r>
    </w:p>
    <w:p w14:paraId="3A99BF8B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80"/>
        <w:jc w:val="both"/>
        <w:rPr>
          <w:rFonts w:eastAsia="Arial" w:cs="Arial"/>
          <w:color w:val="000000" w:themeColor="text1"/>
        </w:rPr>
      </w:pPr>
    </w:p>
    <w:p w14:paraId="5B6EC890" w14:textId="77777777" w:rsidR="00D63B51" w:rsidRPr="00BF0E19" w:rsidRDefault="00D63B51" w:rsidP="00D34901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b/>
          <w:bCs/>
          <w:color w:val="000000" w:themeColor="text1"/>
        </w:rPr>
      </w:pPr>
      <w:r w:rsidRPr="00BF0E19">
        <w:rPr>
          <w:rFonts w:eastAsia="Arial" w:cs="Arial"/>
          <w:b/>
          <w:bCs/>
          <w:color w:val="000000" w:themeColor="text1"/>
        </w:rPr>
        <w:t>Operação da Unidade </w:t>
      </w:r>
    </w:p>
    <w:p w14:paraId="4411341F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Executar o alinhamento ao separador de teste conforme procedimentos da unidade; </w:t>
      </w:r>
    </w:p>
    <w:p w14:paraId="6309741C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Realizar a coleta física das amostras conforme instruções da Departamento de Medição e procedimentos de amostragem da unidade; </w:t>
      </w:r>
    </w:p>
    <w:p w14:paraId="41337378" w14:textId="77718329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Registrar as condições operacionais durante a coleta. </w:t>
      </w:r>
    </w:p>
    <w:p w14:paraId="1CC9CC47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80"/>
        <w:jc w:val="both"/>
        <w:rPr>
          <w:rFonts w:eastAsia="Arial" w:cs="Arial"/>
          <w:color w:val="000000" w:themeColor="text1"/>
        </w:rPr>
      </w:pPr>
    </w:p>
    <w:p w14:paraId="6DE19922" w14:textId="77777777" w:rsidR="00D63B51" w:rsidRPr="00BF0E19" w:rsidRDefault="00D63B51" w:rsidP="00D34901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b/>
          <w:bCs/>
          <w:color w:val="000000" w:themeColor="text1"/>
        </w:rPr>
      </w:pPr>
      <w:r w:rsidRPr="00BF0E19">
        <w:rPr>
          <w:rFonts w:eastAsia="Arial" w:cs="Arial"/>
          <w:b/>
          <w:bCs/>
          <w:color w:val="000000" w:themeColor="text1"/>
        </w:rPr>
        <w:t>Logística </w:t>
      </w:r>
    </w:p>
    <w:p w14:paraId="02BCA5B1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Garantir disponibilidade de materiais para amostragem; </w:t>
      </w:r>
    </w:p>
    <w:p w14:paraId="5030F897" w14:textId="68135B3D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Planejar e executar o transporte das amostras para o laboratório contratado. </w:t>
      </w:r>
    </w:p>
    <w:p w14:paraId="1F83A39E" w14:textId="77777777" w:rsidR="00352A5D" w:rsidRPr="005A7AEB" w:rsidRDefault="00352A5D" w:rsidP="00352A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80"/>
        <w:jc w:val="both"/>
        <w:rPr>
          <w:rFonts w:eastAsia="Arial" w:cs="Arial"/>
          <w:color w:val="000000" w:themeColor="text1"/>
        </w:rPr>
      </w:pPr>
    </w:p>
    <w:p w14:paraId="01BD94DF" w14:textId="77777777" w:rsidR="00D63B51" w:rsidRPr="00BF0E19" w:rsidRDefault="00D63B51" w:rsidP="00D34901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b/>
          <w:bCs/>
          <w:color w:val="000000" w:themeColor="text1"/>
        </w:rPr>
      </w:pPr>
      <w:r w:rsidRPr="00BF0E19">
        <w:rPr>
          <w:rFonts w:eastAsia="Arial" w:cs="Arial"/>
          <w:b/>
          <w:bCs/>
          <w:color w:val="000000" w:themeColor="text1"/>
        </w:rPr>
        <w:t>Laboratório análises </w:t>
      </w:r>
    </w:p>
    <w:p w14:paraId="6104E495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Receber as amostras e realizar as análises previstas no escopo de serviço; </w:t>
      </w:r>
    </w:p>
    <w:p w14:paraId="13C22377" w14:textId="77777777" w:rsidR="00D63B51" w:rsidRPr="005A7AEB" w:rsidRDefault="00D63B51" w:rsidP="00BF0E19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cs="Arial"/>
        </w:rPr>
      </w:pPr>
      <w:r w:rsidRPr="005A7AEB">
        <w:rPr>
          <w:rFonts w:eastAsia="Arial" w:cs="Arial"/>
          <w:color w:val="000000" w:themeColor="text1"/>
        </w:rPr>
        <w:t>Emitir laudos co</w:t>
      </w:r>
      <w:r w:rsidRPr="005A7AEB">
        <w:rPr>
          <w:rFonts w:cs="Arial"/>
        </w:rPr>
        <w:t>m identificação adequada das amostras e resultados. </w:t>
      </w:r>
    </w:p>
    <w:p w14:paraId="19D755F6" w14:textId="2BB477F8" w:rsidR="00D63B51" w:rsidRPr="005A7AEB" w:rsidRDefault="00D63B51" w:rsidP="00352A5D">
      <w:pPr>
        <w:spacing w:after="240" w:line="276" w:lineRule="auto"/>
        <w:ind w:left="60"/>
        <w:rPr>
          <w:rFonts w:cs="Arial"/>
        </w:rPr>
      </w:pPr>
    </w:p>
    <w:p w14:paraId="75098E03" w14:textId="77777777" w:rsidR="00D63B51" w:rsidRPr="005A7AEB" w:rsidRDefault="00D63B51" w:rsidP="00352A5D">
      <w:pPr>
        <w:pStyle w:val="Ttulo1"/>
        <w:numPr>
          <w:ilvl w:val="0"/>
          <w:numId w:val="2"/>
        </w:numPr>
        <w:spacing w:before="0" w:line="276" w:lineRule="auto"/>
        <w:rPr>
          <w:rFonts w:cs="Arial"/>
          <w:b/>
          <w:bCs/>
        </w:rPr>
      </w:pPr>
      <w:bookmarkStart w:id="17" w:name="_Toc217108111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Integração com Outros Planos do SGM-FM</w:t>
      </w:r>
      <w:bookmarkEnd w:id="17"/>
      <w:r w:rsidRPr="005A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 </w:t>
      </w:r>
    </w:p>
    <w:p w14:paraId="0A9A0C85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 Plano de Verificação de Desempenho (Anexo 1) define os indicadores e limites de desempenho que servem de base para os critérios objetivos deste plano. </w:t>
      </w:r>
    </w:p>
    <w:p w14:paraId="52DEEE82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 Plano de Atualização de Dados PVT (Anexo 3) descreve o uso dos resultados laboratoriais obtidos a partir das coletas realizadas segundo este plano. </w:t>
      </w:r>
    </w:p>
    <w:p w14:paraId="79A14E90" w14:textId="77777777" w:rsidR="00D63B51" w:rsidRPr="005A7AEB" w:rsidRDefault="00D63B51" w:rsidP="0044592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Os planos de ação e contingência associados ao SGM-FM tratam das medidas a serem adotadas quando: </w:t>
      </w:r>
    </w:p>
    <w:p w14:paraId="3C4FDF34" w14:textId="6A2A2DA8" w:rsidR="00D63B51" w:rsidRPr="005A7AEB" w:rsidRDefault="00D63B51" w:rsidP="00352A5D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Uma coleta necessária não puder ser realizada – dentro do desenquadramento / contingência; ou</w:t>
      </w:r>
      <w:r w:rsidR="00352A5D" w:rsidRPr="005A7AEB">
        <w:rPr>
          <w:rFonts w:eastAsia="Arial" w:cs="Arial"/>
          <w:color w:val="000000" w:themeColor="text1"/>
        </w:rPr>
        <w:t>,</w:t>
      </w:r>
      <w:r w:rsidRPr="005A7AEB">
        <w:rPr>
          <w:rFonts w:eastAsia="Arial" w:cs="Arial"/>
          <w:color w:val="000000" w:themeColor="text1"/>
        </w:rPr>
        <w:t> </w:t>
      </w:r>
    </w:p>
    <w:p w14:paraId="1676CBAF" w14:textId="77777777" w:rsidR="001A355F" w:rsidRPr="005A7AEB" w:rsidRDefault="001A355F" w:rsidP="001A355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/>
        <w:jc w:val="both"/>
        <w:rPr>
          <w:rFonts w:eastAsia="Arial" w:cs="Arial"/>
          <w:color w:val="000000" w:themeColor="text1"/>
        </w:rPr>
      </w:pPr>
    </w:p>
    <w:p w14:paraId="5F328F27" w14:textId="77777777" w:rsidR="00D63B51" w:rsidRPr="005A7AEB" w:rsidRDefault="00D63B51" w:rsidP="00352A5D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eastAsia="Arial" w:cs="Arial"/>
          <w:color w:val="000000" w:themeColor="text1"/>
        </w:rPr>
      </w:pPr>
      <w:r w:rsidRPr="005A7AEB">
        <w:rPr>
          <w:rFonts w:eastAsia="Arial" w:cs="Arial"/>
          <w:color w:val="000000" w:themeColor="text1"/>
        </w:rPr>
        <w:t>Os resultados das análises da coleta supracitada indicarem necessidade de ações adicionais sobre o sistema de medição. </w:t>
      </w:r>
    </w:p>
    <w:p w14:paraId="21E27BF7" w14:textId="77777777" w:rsidR="00D63B51" w:rsidRPr="009F66E6" w:rsidRDefault="00D63B51" w:rsidP="00445922">
      <w:pPr>
        <w:spacing w:line="276" w:lineRule="auto"/>
        <w:rPr>
          <w:rFonts w:cs="Arial"/>
        </w:rPr>
      </w:pPr>
    </w:p>
    <w:sectPr w:rsidR="00D63B51" w:rsidRPr="009F66E6" w:rsidSect="00201380">
      <w:pgSz w:w="11906" w:h="16838" w:code="9"/>
      <w:pgMar w:top="1560" w:right="1133" w:bottom="851" w:left="1134" w:header="340" w:footer="174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D283" w14:textId="77777777" w:rsidR="00CD447F" w:rsidRPr="005A7AEB" w:rsidRDefault="00CD447F" w:rsidP="009F66E6">
      <w:r w:rsidRPr="005A7AEB">
        <w:separator/>
      </w:r>
    </w:p>
  </w:endnote>
  <w:endnote w:type="continuationSeparator" w:id="0">
    <w:p w14:paraId="4272C093" w14:textId="77777777" w:rsidR="00CD447F" w:rsidRPr="005A7AEB" w:rsidRDefault="00CD447F" w:rsidP="009F66E6">
      <w:r w:rsidRPr="005A7A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A799" w14:textId="77777777" w:rsidR="0059121B" w:rsidRPr="005A7AEB" w:rsidRDefault="005912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954193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F9F1227" w14:textId="77777777" w:rsidR="00CE7195" w:rsidRPr="005A7AEB" w:rsidRDefault="00CE7195" w:rsidP="00CE7195">
            <w:pPr>
              <w:pStyle w:val="Rodap"/>
              <w:jc w:val="center"/>
              <w:rPr>
                <w:sz w:val="16"/>
                <w:szCs w:val="16"/>
              </w:rPr>
            </w:pPr>
            <w:r w:rsidRPr="005A7AEB">
              <w:rPr>
                <w:rFonts w:cs="Arial"/>
                <w:bCs/>
                <w:sz w:val="16"/>
                <w:szCs w:val="16"/>
              </w:rPr>
              <w:t>Pertence ao Gerir Sistema de Medição de Fluido Multifásico</w:t>
            </w:r>
            <w:r w:rsidRPr="005A7AEB">
              <w:rPr>
                <w:sz w:val="16"/>
                <w:szCs w:val="16"/>
              </w:rPr>
              <w:t xml:space="preserve"> </w:t>
            </w:r>
          </w:p>
          <w:p w14:paraId="15475580" w14:textId="7D0CFA52" w:rsidR="00CE7195" w:rsidRPr="005A7AEB" w:rsidRDefault="00CE7195" w:rsidP="00CE7195">
            <w:pPr>
              <w:pStyle w:val="Rodap"/>
              <w:jc w:val="center"/>
            </w:pPr>
            <w:r w:rsidRPr="005A7AEB">
              <w:rPr>
                <w:sz w:val="16"/>
                <w:szCs w:val="16"/>
              </w:rPr>
              <w:t>P</w:t>
            </w:r>
            <w:r w:rsidR="003C0B71" w:rsidRPr="005A7AEB">
              <w:rPr>
                <w:sz w:val="16"/>
                <w:szCs w:val="16"/>
              </w:rPr>
              <w:t>ágina</w:t>
            </w:r>
            <w:r w:rsidRPr="005A7AEB">
              <w:rPr>
                <w:sz w:val="16"/>
                <w:szCs w:val="16"/>
              </w:rPr>
              <w:t xml:space="preserve"> </w:t>
            </w:r>
            <w:r w:rsidRPr="005A7AEB">
              <w:rPr>
                <w:b/>
                <w:bCs/>
                <w:sz w:val="16"/>
                <w:szCs w:val="16"/>
              </w:rPr>
              <w:fldChar w:fldCharType="begin"/>
            </w:r>
            <w:r w:rsidRPr="005A7AEB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5A7AEB">
              <w:rPr>
                <w:b/>
                <w:bCs/>
                <w:sz w:val="16"/>
                <w:szCs w:val="16"/>
              </w:rPr>
              <w:fldChar w:fldCharType="separate"/>
            </w:r>
            <w:r w:rsidRPr="005A7AEB">
              <w:rPr>
                <w:b/>
                <w:bCs/>
                <w:sz w:val="16"/>
                <w:szCs w:val="16"/>
              </w:rPr>
              <w:t>2</w:t>
            </w:r>
            <w:r w:rsidRPr="005A7AEB">
              <w:rPr>
                <w:b/>
                <w:bCs/>
                <w:sz w:val="16"/>
                <w:szCs w:val="16"/>
              </w:rPr>
              <w:fldChar w:fldCharType="end"/>
            </w:r>
            <w:r w:rsidRPr="005A7AEB">
              <w:rPr>
                <w:sz w:val="16"/>
                <w:szCs w:val="16"/>
              </w:rPr>
              <w:t xml:space="preserve"> </w:t>
            </w:r>
            <w:r w:rsidR="003C0B71" w:rsidRPr="005A7AEB">
              <w:rPr>
                <w:sz w:val="16"/>
                <w:szCs w:val="16"/>
              </w:rPr>
              <w:t>de</w:t>
            </w:r>
            <w:r w:rsidRPr="005A7AEB">
              <w:rPr>
                <w:sz w:val="16"/>
                <w:szCs w:val="16"/>
              </w:rPr>
              <w:t xml:space="preserve"> </w:t>
            </w:r>
            <w:r w:rsidRPr="005A7AEB">
              <w:rPr>
                <w:b/>
                <w:bCs/>
                <w:sz w:val="16"/>
                <w:szCs w:val="16"/>
              </w:rPr>
              <w:fldChar w:fldCharType="begin"/>
            </w:r>
            <w:r w:rsidRPr="005A7AEB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5A7AEB">
              <w:rPr>
                <w:b/>
                <w:bCs/>
                <w:sz w:val="16"/>
                <w:szCs w:val="16"/>
              </w:rPr>
              <w:fldChar w:fldCharType="separate"/>
            </w:r>
            <w:r w:rsidRPr="005A7AEB">
              <w:rPr>
                <w:b/>
                <w:bCs/>
                <w:sz w:val="16"/>
                <w:szCs w:val="16"/>
              </w:rPr>
              <w:t>2</w:t>
            </w:r>
            <w:r w:rsidRPr="005A7AEB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D27ED4A" w14:textId="77777777" w:rsidR="009F66E6" w:rsidRPr="005A7AEB" w:rsidRDefault="009F66E6" w:rsidP="00670745">
    <w:pPr>
      <w:pStyle w:val="Rodap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0E33" w14:textId="77777777" w:rsidR="0059121B" w:rsidRPr="005A7AEB" w:rsidRDefault="005912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742E6" w14:textId="77777777" w:rsidR="00CD447F" w:rsidRPr="005A7AEB" w:rsidRDefault="00CD447F" w:rsidP="009F66E6">
      <w:r w:rsidRPr="005A7AEB">
        <w:separator/>
      </w:r>
    </w:p>
  </w:footnote>
  <w:footnote w:type="continuationSeparator" w:id="0">
    <w:p w14:paraId="65718AB3" w14:textId="77777777" w:rsidR="00CD447F" w:rsidRPr="005A7AEB" w:rsidRDefault="00CD447F" w:rsidP="009F66E6">
      <w:r w:rsidRPr="005A7A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37252" w14:textId="77777777" w:rsidR="0059121B" w:rsidRPr="005A7AEB" w:rsidRDefault="005912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6630" w14:textId="77777777" w:rsidR="009F66E6" w:rsidRPr="005A7AEB" w:rsidRDefault="009F66E6" w:rsidP="00484C72">
    <w:pPr>
      <w:pStyle w:val="Cabealho"/>
      <w:ind w:left="-126"/>
      <w:jc w:val="center"/>
      <w:rPr>
        <w:rFonts w:cs="Arial"/>
        <w:b/>
        <w:color w:val="49709C"/>
        <w:sz w:val="24"/>
        <w:szCs w:val="24"/>
      </w:rPr>
    </w:pPr>
    <w:r w:rsidRPr="005A7AEB">
      <w:rPr>
        <w:rFonts w:cs="Arial"/>
        <w:b/>
        <w:color w:val="49709C"/>
        <w:sz w:val="24"/>
      </w:rPr>
      <w:drawing>
        <wp:anchor distT="0" distB="0" distL="114300" distR="114300" simplePos="0" relativeHeight="251658752" behindDoc="0" locked="0" layoutInCell="1" allowOverlap="1" wp14:anchorId="0761DCBF" wp14:editId="505E351F">
          <wp:simplePos x="0" y="0"/>
          <wp:positionH relativeFrom="margin">
            <wp:posOffset>5256264</wp:posOffset>
          </wp:positionH>
          <wp:positionV relativeFrom="margin">
            <wp:posOffset>-929478</wp:posOffset>
          </wp:positionV>
          <wp:extent cx="1342800" cy="698567"/>
          <wp:effectExtent l="0" t="0" r="0" b="0"/>
          <wp:wrapSquare wrapText="bothSides"/>
          <wp:docPr id="1995080626" name="Picture 7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795365" name="Picture 7" descr="A red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2800" cy="6985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A7AEB">
      <w:rPr>
        <w:rFonts w:cs="Arial"/>
        <w:b/>
        <w:color w:val="49709C"/>
        <w:sz w:val="24"/>
        <w:szCs w:val="24"/>
      </w:rPr>
      <w:t xml:space="preserve">                           E Q U I N O R    I N T E R N A L</w:t>
    </w:r>
  </w:p>
  <w:p w14:paraId="47D79B3C" w14:textId="77777777" w:rsidR="009F66E6" w:rsidRPr="005A7AEB" w:rsidRDefault="009F66E6" w:rsidP="00254359">
    <w:pPr>
      <w:pStyle w:val="Cabealho"/>
      <w:ind w:left="-126"/>
      <w:jc w:val="center"/>
      <w:rPr>
        <w:rFonts w:cs="Arial"/>
        <w:bCs/>
        <w:sz w:val="16"/>
        <w:szCs w:val="16"/>
      </w:rPr>
    </w:pPr>
  </w:p>
  <w:p w14:paraId="0C71EFAE" w14:textId="29E01EB8" w:rsidR="00CE7195" w:rsidRPr="005A7AEB" w:rsidRDefault="00254359" w:rsidP="00254359">
    <w:pPr>
      <w:pStyle w:val="Cabealho"/>
      <w:ind w:left="-126"/>
      <w:jc w:val="center"/>
      <w:rPr>
        <w:rFonts w:cs="Arial"/>
        <w:b/>
        <w:bCs/>
        <w:sz w:val="18"/>
        <w:szCs w:val="18"/>
      </w:rPr>
    </w:pPr>
    <w:r w:rsidRPr="005A7AEB">
      <w:rPr>
        <w:rFonts w:cs="Arial"/>
        <w:sz w:val="18"/>
        <w:szCs w:val="18"/>
      </w:rPr>
      <w:t xml:space="preserve">                                </w:t>
    </w:r>
    <w:r w:rsidR="00CE7195" w:rsidRPr="005A7AEB">
      <w:rPr>
        <w:rFonts w:cs="Arial"/>
        <w:b/>
        <w:bCs/>
        <w:sz w:val="20"/>
        <w:szCs w:val="20"/>
      </w:rPr>
      <w:t xml:space="preserve">Anexo </w:t>
    </w:r>
    <w:r w:rsidR="0059121B" w:rsidRPr="005A7AEB">
      <w:rPr>
        <w:rFonts w:cs="Arial"/>
        <w:b/>
        <w:bCs/>
        <w:sz w:val="20"/>
        <w:szCs w:val="20"/>
      </w:rPr>
      <w:t>2</w:t>
    </w:r>
    <w:r w:rsidR="00CE7195" w:rsidRPr="005A7AEB">
      <w:rPr>
        <w:rFonts w:cs="Arial"/>
        <w:b/>
        <w:bCs/>
        <w:sz w:val="20"/>
        <w:szCs w:val="20"/>
      </w:rPr>
      <w:t xml:space="preserve"> – Plano de </w:t>
    </w:r>
    <w:r w:rsidR="0059121B" w:rsidRPr="005A7AEB">
      <w:rPr>
        <w:rFonts w:cs="Arial"/>
        <w:b/>
        <w:bCs/>
        <w:sz w:val="20"/>
        <w:szCs w:val="20"/>
      </w:rPr>
      <w:t>Coleta de Amostra de Fluido Multifásico</w:t>
    </w:r>
  </w:p>
  <w:p w14:paraId="41B0387A" w14:textId="77777777" w:rsidR="009F66E6" w:rsidRPr="005A7AEB" w:rsidRDefault="009F66E6" w:rsidP="00254359">
    <w:pPr>
      <w:pStyle w:val="Style2"/>
      <w:pBdr>
        <w:bottom w:val="single" w:sz="4" w:space="1" w:color="auto"/>
      </w:pBdr>
      <w:spacing w:line="100" w:lineRule="exact"/>
      <w:ind w:left="1276"/>
      <w:rPr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EF82" w14:textId="77777777" w:rsidR="0059121B" w:rsidRPr="005A7AEB" w:rsidRDefault="005912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824"/>
    <w:multiLevelType w:val="multilevel"/>
    <w:tmpl w:val="272C22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2823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0718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45BCD"/>
    <w:multiLevelType w:val="multilevel"/>
    <w:tmpl w:val="4274D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46E59"/>
    <w:multiLevelType w:val="multilevel"/>
    <w:tmpl w:val="559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2175FB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0877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2308A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C5F9C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B3C98"/>
    <w:multiLevelType w:val="multilevel"/>
    <w:tmpl w:val="B40CB6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E9718AD"/>
    <w:multiLevelType w:val="multilevel"/>
    <w:tmpl w:val="8DD6D2CC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18D3B32"/>
    <w:multiLevelType w:val="multilevel"/>
    <w:tmpl w:val="8ED88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E0AE7"/>
    <w:multiLevelType w:val="multilevel"/>
    <w:tmpl w:val="8ED88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B6C6C"/>
    <w:multiLevelType w:val="hybridMultilevel"/>
    <w:tmpl w:val="7E7AB40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6E19DD"/>
    <w:multiLevelType w:val="multilevel"/>
    <w:tmpl w:val="8ED88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233A4"/>
    <w:multiLevelType w:val="multilevel"/>
    <w:tmpl w:val="CA7EE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B6C18"/>
    <w:multiLevelType w:val="multilevel"/>
    <w:tmpl w:val="8ED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93358">
    <w:abstractNumId w:val="9"/>
  </w:num>
  <w:num w:numId="2" w16cid:durableId="1727532475">
    <w:abstractNumId w:val="10"/>
  </w:num>
  <w:num w:numId="3" w16cid:durableId="1510565741">
    <w:abstractNumId w:val="4"/>
  </w:num>
  <w:num w:numId="4" w16cid:durableId="483662518">
    <w:abstractNumId w:val="8"/>
  </w:num>
  <w:num w:numId="5" w16cid:durableId="1016884526">
    <w:abstractNumId w:val="6"/>
  </w:num>
  <w:num w:numId="6" w16cid:durableId="1065370473">
    <w:abstractNumId w:val="7"/>
  </w:num>
  <w:num w:numId="7" w16cid:durableId="669257305">
    <w:abstractNumId w:val="2"/>
  </w:num>
  <w:num w:numId="8" w16cid:durableId="1472822220">
    <w:abstractNumId w:val="3"/>
  </w:num>
  <w:num w:numId="9" w16cid:durableId="1309825796">
    <w:abstractNumId w:val="15"/>
  </w:num>
  <w:num w:numId="10" w16cid:durableId="182133098">
    <w:abstractNumId w:val="1"/>
  </w:num>
  <w:num w:numId="11" w16cid:durableId="1521549362">
    <w:abstractNumId w:val="5"/>
  </w:num>
  <w:num w:numId="12" w16cid:durableId="39474815">
    <w:abstractNumId w:val="0"/>
  </w:num>
  <w:num w:numId="13" w16cid:durableId="1968318905">
    <w:abstractNumId w:val="12"/>
  </w:num>
  <w:num w:numId="14" w16cid:durableId="632634290">
    <w:abstractNumId w:val="14"/>
  </w:num>
  <w:num w:numId="15" w16cid:durableId="1854219232">
    <w:abstractNumId w:val="16"/>
  </w:num>
  <w:num w:numId="16" w16cid:durableId="1197888749">
    <w:abstractNumId w:val="11"/>
  </w:num>
  <w:num w:numId="17" w16cid:durableId="1025402438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E6"/>
    <w:rsid w:val="000A17DB"/>
    <w:rsid w:val="00151484"/>
    <w:rsid w:val="001A355F"/>
    <w:rsid w:val="001B2BE3"/>
    <w:rsid w:val="001E71D8"/>
    <w:rsid w:val="00201380"/>
    <w:rsid w:val="00235629"/>
    <w:rsid w:val="00254359"/>
    <w:rsid w:val="00272BB8"/>
    <w:rsid w:val="002E2895"/>
    <w:rsid w:val="00323EC5"/>
    <w:rsid w:val="00352A5D"/>
    <w:rsid w:val="003B5891"/>
    <w:rsid w:val="003C0B71"/>
    <w:rsid w:val="00445922"/>
    <w:rsid w:val="00590B7C"/>
    <w:rsid w:val="0059121B"/>
    <w:rsid w:val="005A2767"/>
    <w:rsid w:val="005A7AEB"/>
    <w:rsid w:val="005C28B5"/>
    <w:rsid w:val="006007E4"/>
    <w:rsid w:val="0064287F"/>
    <w:rsid w:val="006B2CEC"/>
    <w:rsid w:val="00705D9A"/>
    <w:rsid w:val="007E48A2"/>
    <w:rsid w:val="007F3040"/>
    <w:rsid w:val="008E0266"/>
    <w:rsid w:val="009A5953"/>
    <w:rsid w:val="009F66E6"/>
    <w:rsid w:val="00A047B0"/>
    <w:rsid w:val="00AB24D8"/>
    <w:rsid w:val="00AC1FF3"/>
    <w:rsid w:val="00AE11DF"/>
    <w:rsid w:val="00B3769E"/>
    <w:rsid w:val="00BA1BF6"/>
    <w:rsid w:val="00BE6CC5"/>
    <w:rsid w:val="00BF0E19"/>
    <w:rsid w:val="00C149B0"/>
    <w:rsid w:val="00C333B4"/>
    <w:rsid w:val="00C8127C"/>
    <w:rsid w:val="00CD447F"/>
    <w:rsid w:val="00CE59A2"/>
    <w:rsid w:val="00CE7195"/>
    <w:rsid w:val="00D34901"/>
    <w:rsid w:val="00D63B51"/>
    <w:rsid w:val="00DA3FB5"/>
    <w:rsid w:val="00E50679"/>
    <w:rsid w:val="00E9262B"/>
    <w:rsid w:val="00EA23E7"/>
    <w:rsid w:val="00F8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2782B"/>
  <w15:chartTrackingRefBased/>
  <w15:docId w15:val="{97F77AE1-BD6C-4E57-A548-4A536C9E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B51"/>
    <w:pPr>
      <w:spacing w:after="0" w:line="240" w:lineRule="auto"/>
    </w:pPr>
    <w:rPr>
      <w:rFonts w:ascii="Arial" w:eastAsia="Times New Roman" w:hAnsi="Arial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1"/>
    <w:qFormat/>
    <w:rsid w:val="009F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9F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9F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9F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9F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9F66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66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1"/>
    <w:unhideWhenUsed/>
    <w:qFormat/>
    <w:rsid w:val="009F66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1"/>
    <w:unhideWhenUsed/>
    <w:qFormat/>
    <w:rsid w:val="009F66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9F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9F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9F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6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66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6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66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6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6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66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66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66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66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66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66E6"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next w:val="Normal"/>
    <w:uiPriority w:val="39"/>
    <w:rsid w:val="009F66E6"/>
    <w:pPr>
      <w:tabs>
        <w:tab w:val="left" w:pos="902"/>
        <w:tab w:val="right" w:leader="dot" w:pos="9720"/>
      </w:tabs>
      <w:spacing w:before="120"/>
      <w:ind w:left="900" w:right="561" w:hanging="900"/>
    </w:pPr>
    <w:rPr>
      <w:b/>
      <w:noProof/>
      <w:sz w:val="18"/>
    </w:rPr>
  </w:style>
  <w:style w:type="paragraph" w:styleId="Sumrio2">
    <w:name w:val="toc 2"/>
    <w:basedOn w:val="Sumrio1"/>
    <w:next w:val="Normal"/>
    <w:uiPriority w:val="39"/>
    <w:rsid w:val="009F66E6"/>
    <w:pPr>
      <w:spacing w:before="0"/>
      <w:ind w:left="1531" w:hanging="624"/>
    </w:pPr>
    <w:rPr>
      <w:b w:val="0"/>
    </w:rPr>
  </w:style>
  <w:style w:type="paragraph" w:styleId="Cabealho">
    <w:name w:val="header"/>
    <w:basedOn w:val="Normal"/>
    <w:link w:val="CabealhoChar"/>
    <w:uiPriority w:val="1"/>
    <w:rsid w:val="009F66E6"/>
    <w:pPr>
      <w:tabs>
        <w:tab w:val="center" w:pos="4536"/>
        <w:tab w:val="right" w:pos="9072"/>
      </w:tabs>
    </w:pPr>
    <w:rPr>
      <w:sz w:val="15"/>
    </w:rPr>
  </w:style>
  <w:style w:type="character" w:customStyle="1" w:styleId="CabealhoChar">
    <w:name w:val="Cabeçalho Char"/>
    <w:basedOn w:val="Fontepargpadro"/>
    <w:link w:val="Cabealho"/>
    <w:uiPriority w:val="1"/>
    <w:rsid w:val="009F66E6"/>
    <w:rPr>
      <w:rFonts w:ascii="Arial" w:eastAsia="Times New Roman" w:hAnsi="Arial" w:cs="Times New Roman"/>
      <w:kern w:val="0"/>
      <w:sz w:val="15"/>
      <w:szCs w:val="22"/>
      <w14:ligatures w14:val="none"/>
    </w:rPr>
  </w:style>
  <w:style w:type="paragraph" w:styleId="Rodap">
    <w:name w:val="footer"/>
    <w:basedOn w:val="Normal"/>
    <w:link w:val="RodapChar"/>
    <w:uiPriority w:val="99"/>
    <w:rsid w:val="009F66E6"/>
    <w:pPr>
      <w:tabs>
        <w:tab w:val="center" w:pos="4536"/>
        <w:tab w:val="right" w:pos="9072"/>
      </w:tabs>
    </w:pPr>
    <w:rPr>
      <w:sz w:val="15"/>
    </w:rPr>
  </w:style>
  <w:style w:type="character" w:customStyle="1" w:styleId="RodapChar">
    <w:name w:val="Rodapé Char"/>
    <w:basedOn w:val="Fontepargpadro"/>
    <w:link w:val="Rodap"/>
    <w:uiPriority w:val="99"/>
    <w:rsid w:val="009F66E6"/>
    <w:rPr>
      <w:rFonts w:ascii="Arial" w:eastAsia="Times New Roman" w:hAnsi="Arial" w:cs="Times New Roman"/>
      <w:kern w:val="0"/>
      <w:sz w:val="15"/>
      <w:szCs w:val="22"/>
      <w14:ligatures w14:val="none"/>
    </w:rPr>
  </w:style>
  <w:style w:type="character" w:styleId="Nmerodepgina">
    <w:name w:val="page number"/>
    <w:rsid w:val="009F66E6"/>
    <w:rPr>
      <w:rFonts w:ascii="Verdana" w:hAnsi="Verdana"/>
      <w:color w:val="0000FF"/>
      <w:sz w:val="16"/>
    </w:rPr>
  </w:style>
  <w:style w:type="character" w:styleId="Hyperlink">
    <w:name w:val="Hyperlink"/>
    <w:uiPriority w:val="99"/>
    <w:rsid w:val="009F66E6"/>
    <w:rPr>
      <w:color w:val="0000FF"/>
      <w:u w:val="single"/>
    </w:rPr>
  </w:style>
  <w:style w:type="table" w:customStyle="1" w:styleId="KCtable">
    <w:name w:val="KCtable"/>
    <w:basedOn w:val="Tabelanormal"/>
    <w:rsid w:val="009F66E6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1"/>
    <w:rsid w:val="009F66E6"/>
    <w:pPr>
      <w:pBdr>
        <w:bottom w:val="single" w:sz="8" w:space="1" w:color="FF22A8"/>
      </w:pBdr>
    </w:pPr>
  </w:style>
  <w:style w:type="paragraph" w:customStyle="1" w:styleId="Style2">
    <w:name w:val="Style2"/>
    <w:basedOn w:val="Normal"/>
    <w:uiPriority w:val="1"/>
    <w:rsid w:val="009F66E6"/>
    <w:pPr>
      <w:pBdr>
        <w:bottom w:val="single" w:sz="8" w:space="1" w:color="FF22A8"/>
      </w:pBdr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quinor Document" ma:contentTypeID="0x01010021A623C39873404E8BA89587BD4428B401009C255F5FAD777141BBEE067A11771F0A" ma:contentTypeVersion="13" ma:contentTypeDescription="Create a new document." ma:contentTypeScope="" ma:versionID="50731b40e213b3afe4b8af6ee1e92002">
  <xsd:schema xmlns:xsd="http://www.w3.org/2001/XMLSchema" xmlns:xs="http://www.w3.org/2001/XMLSchema" xmlns:p="http://schemas.microsoft.com/office/2006/metadata/properties" xmlns:ns2="ea1a9bfc-76a9-4942-bb84-a249f7d50da2" xmlns:ns3="00bf9c0c-280a-47c4-848b-352c5e04b4bb" targetNamespace="http://schemas.microsoft.com/office/2006/metadata/properties" ma:root="true" ma:fieldsID="6b401f035e2a0b3eccfb06497d65f2ea" ns2:_="" ns3:_="">
    <xsd:import namespace="ea1a9bfc-76a9-4942-bb84-a249f7d50da2"/>
    <xsd:import namespace="00bf9c0c-280a-47c4-848b-352c5e04b4bb"/>
    <xsd:element name="properties">
      <xsd:complexType>
        <xsd:sequence>
          <xsd:element name="documentManagement">
            <xsd:complexType>
              <xsd:all>
                <xsd:element ref="ns2:d632f762b19c46329b06e4a329cb5038" minOccurs="0"/>
                <xsd:element ref="ns2:TaxCatchAll" minOccurs="0"/>
                <xsd:element ref="ns2:TaxCatchAllLabel" minOccurs="0"/>
                <xsd:element ref="ns2:mbf6ec96a4d94feeaf76fee4d5d0c80e" minOccurs="0"/>
                <xsd:element ref="ns2:c71f94430ee24530b6af52dc58e8598c" minOccurs="0"/>
                <xsd:element ref="ns2:m9e92212f5fa42fa9b52bc2f3224e0af" minOccurs="0"/>
                <xsd:element ref="ns2:hfb23c77fa4f4618a5f446ac03ac12ab" minOccurs="0"/>
                <xsd:element ref="ns2:g971e9ce8060489b80a056801d36d93d" minOccurs="0"/>
                <xsd:element ref="ns2:b519d5ff8fc64ffea9cb9a4c0b377271" minOccurs="0"/>
                <xsd:element ref="ns2:o6fe11a35735487dac377a215490fa4b" minOccurs="0"/>
                <xsd:element ref="ns2:gd56e2644879487f8da67586944cf0f5" minOccurs="0"/>
                <xsd:element ref="ns2:m0347c9175b146a684f123052380924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a9bfc-76a9-4942-bb84-a249f7d50da2" elementFormDefault="qualified">
    <xsd:import namespace="http://schemas.microsoft.com/office/2006/documentManagement/types"/>
    <xsd:import namespace="http://schemas.microsoft.com/office/infopath/2007/PartnerControls"/>
    <xsd:element name="d632f762b19c46329b06e4a329cb5038" ma:index="8" ma:taxonomy="true" ma:internalName="d632f762b19c46329b06e4a329cb5038" ma:taxonomyFieldName="EIMBusinessArea" ma:displayName="Business Area" ma:default="5;#EXPLORATION ＆ PRODUCTION INTERNATIONAL (EPI)|76777ab9-3b5c-45dc-b1bf-cae5e8c2a234" ma:fieldId="{d632f762-b19c-4632-9b06-e4a329cb5038}" ma:sspId="02f74cf1-ae9f-400d-bc52-3bcd3a9e177f" ma:termSetId="a8ca9a86-9113-48ea-8063-579000373f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403d765-f298-4139-8e58-d4c0261276bd}" ma:internalName="TaxCatchAll" ma:showField="CatchAllData" ma:web="ea1a9bfc-76a9-4942-bb84-a249f7d50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403d765-f298-4139-8e58-d4c0261276bd}" ma:internalName="TaxCatchAllLabel" ma:readOnly="true" ma:showField="CatchAllDataLabel" ma:web="ea1a9bfc-76a9-4942-bb84-a249f7d50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bf6ec96a4d94feeaf76fee4d5d0c80e" ma:index="12" ma:taxonomy="true" ma:internalName="mbf6ec96a4d94feeaf76fee4d5d0c80e" ma:taxonomyFieldName="EIMCountry" ma:displayName="Country" ma:default="6;#Brazil|d641e264-f157-42ed-8f97-e17c8f6cf33a" ma:fieldId="{6bf6ec96-a4d9-4fee-af76-fee4d5d0c80e}" ma:taxonomyMulti="true" ma:sspId="02f74cf1-ae9f-400d-bc52-3bcd3a9e177f" ma:termSetId="0250f7c1-058f-435e-97fc-c7f5858459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1f94430ee24530b6af52dc58e8598c" ma:index="14" ma:taxonomy="true" ma:internalName="c71f94430ee24530b6af52dc58e8598c" ma:taxonomyFieldName="EIMInformationAsset" ma:displayName="Information type" ma:default="10;#Operation and Maintenance documentation|4767e6fc-97fe-4895-ba5a-80e461cbd45d" ma:fieldId="{c71f9443-0ee2-4530-b6af-52dc58e8598c}" ma:sspId="02f74cf1-ae9f-400d-bc52-3bcd3a9e177f" ma:termSetId="b76f03a6-1db7-44cf-ab25-1870b16029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e92212f5fa42fa9b52bc2f3224e0af" ma:index="16" ma:taxonomy="true" ma:internalName="m9e92212f5fa42fa9b52bc2f3224e0af" ma:taxonomyFieldName="EIMLegalEntity" ma:displayName="Legal Entity" ma:default="7;#Equinor Brasil Energia Ltda.|5b4a339c-2b69-419f-be0c-27e975216a58" ma:fieldId="{69e92212-f5fa-42fa-9b52-bc2f3224e0af}" ma:sspId="02f74cf1-ae9f-400d-bc52-3bcd3a9e177f" ma:termSetId="547ebc0c-73a3-4a88-b498-ea2a950fe2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fb23c77fa4f4618a5f446ac03ac12ab" ma:index="18" ma:taxonomy="true" ma:internalName="hfb23c77fa4f4618a5f446ac03ac12ab" ma:taxonomyFieldName="EIMProcessArea" ma:displayName="Business capability level 1" ma:default="8;#Operation and maintenance (OM)|2f792156-1444-4990-b757-a571494857be" ma:fieldId="{1fb23c77-fa4f-4618-a5f4-46ac03ac12ab}" ma:sspId="02f74cf1-ae9f-400d-bc52-3bcd3a9e177f" ma:termSetId="041c847a-4248-484c-8e89-6aba1a2f3a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71e9ce8060489b80a056801d36d93d" ma:index="20" ma:taxonomy="true" ma:internalName="g971e9ce8060489b80a056801d36d93d" ma:taxonomyFieldName="EIMProcess" ma:displayName="Business capability level 2" ma:default="9;#Technical integrity management|ce6b1ab7-1aca-4450-a1c0-cb6e89a524cc" ma:fieldId="{0971e9ce-8060-489b-80a0-56801d36d93d}" ma:sspId="02f74cf1-ae9f-400d-bc52-3bcd3a9e177f" ma:termSetId="3b80e1d2-5900-412d-b185-fa8652847d1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519d5ff8fc64ffea9cb9a4c0b377271" ma:index="22" ma:taxonomy="true" ma:internalName="b519d5ff8fc64ffea9cb9a4c0b377271" ma:taxonomyFieldName="EIMSecurityClassification" ma:displayName="Security Classification" ma:default="4;#Internal|3361fef0-33ac-457d-8a1d-df19735ffcb1" ma:fieldId="{b519d5ff-8fc6-4ffe-a9cb-9a4c0b377271}" ma:sspId="02f74cf1-ae9f-400d-bc52-3bcd3a9e177f" ma:termSetId="6586e8a5-4521-47b6-a267-a502c9a77ea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6fe11a35735487dac377a215490fa4b" ma:index="24" nillable="true" ma:taxonomy="true" ma:internalName="o6fe11a35735487dac377a215490fa4b" ma:taxonomyFieldName="EIMSource" ma:displayName="Source" ma:default="3;#Office 365|23cc2eaf-b88f-49bf-9aee-2309aadb8846" ma:fieldId="{86fe11a3-5735-487d-ac37-7a215490fa4b}" ma:sspId="02f74cf1-ae9f-400d-bc52-3bcd3a9e177f" ma:termSetId="68f706c4-2129-47d0-b770-1bab961b61b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d56e2644879487f8da67586944cf0f5" ma:index="26" ma:taxonomy="true" ma:internalName="gd56e2644879487f8da67586944cf0f5" ma:taxonomyFieldName="EIMStatus" ma:displayName="Status" ma:default="2;#Draft|af4d3abd-d88d-48b7-8fea-db9baac9496f" ma:fieldId="{0d56e264-4879-487f-8da6-7586944cf0f5}" ma:sspId="02f74cf1-ae9f-400d-bc52-3bcd3a9e177f" ma:termSetId="ee819452-dde8-4ad2-a8b9-030bdfafa6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0347c9175b146a684f1230523809245" ma:index="28" nillable="true" ma:taxonomy="true" ma:internalName="m0347c9175b146a684f1230523809245" ma:taxonomyFieldName="EIMDiscipline" ma:displayName="Discipline" ma:default="11;#Fiscal metering systems ＆ field allocation|9d88b364-b47a-4a1e-8100-07f26438537d" ma:fieldId="{60347c91-75b1-46a6-84f1-230523809245}" ma:taxonomyMulti="true" ma:sspId="02f74cf1-ae9f-400d-bc52-3bcd3a9e177f" ma:termSetId="d1866989-1eec-46c3-b7d1-bd44d164569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f9c0c-280a-47c4-848b-352c5e04b4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02f74cf1-ae9f-400d-bc52-3bcd3a9e1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632f762b19c46329b06e4a329cb5038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EXPLORATION ＆ PRODUCTION INTERNATIONAL (EPI)</TermName>
          <TermId xmlns="http://schemas.microsoft.com/office/infopath/2007/PartnerControls">76777ab9-3b5c-45dc-b1bf-cae5e8c2a234</TermId>
        </TermInfo>
      </Terms>
    </d632f762b19c46329b06e4a329cb5038>
    <o6fe11a35735487dac377a215490fa4b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365</TermName>
          <TermId xmlns="http://schemas.microsoft.com/office/infopath/2007/PartnerControls">23cc2eaf-b88f-49bf-9aee-2309aadb8846</TermId>
        </TermInfo>
      </Terms>
    </o6fe11a35735487dac377a215490fa4b>
    <m0347c9175b146a684f1230523809245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Fiscal metering systems ＆ field allocation</TermName>
          <TermId xmlns="http://schemas.microsoft.com/office/infopath/2007/PartnerControls">9d88b364-b47a-4a1e-8100-07f26438537d</TermId>
        </TermInfo>
      </Terms>
    </m0347c9175b146a684f1230523809245>
    <mbf6ec96a4d94feeaf76fee4d5d0c80e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Brazil</TermName>
          <TermId xmlns="http://schemas.microsoft.com/office/infopath/2007/PartnerControls">d641e264-f157-42ed-8f97-e17c8f6cf33a</TermId>
        </TermInfo>
      </Terms>
    </mbf6ec96a4d94feeaf76fee4d5d0c80e>
    <TaxCatchAll xmlns="ea1a9bfc-76a9-4942-bb84-a249f7d50da2">
      <Value>11</Value>
      <Value>10</Value>
      <Value>9</Value>
      <Value>8</Value>
      <Value>7</Value>
      <Value>6</Value>
      <Value>5</Value>
      <Value>4</Value>
      <Value>3</Value>
      <Value>2</Value>
    </TaxCatchAll>
    <g971e9ce8060489b80a056801d36d93d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Technical integrity management</TermName>
          <TermId xmlns="http://schemas.microsoft.com/office/infopath/2007/PartnerControls">ce6b1ab7-1aca-4450-a1c0-cb6e89a524cc</TermId>
        </TermInfo>
      </Terms>
    </g971e9ce8060489b80a056801d36d93d>
    <c71f94430ee24530b6af52dc58e8598c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 and Maintenance documentation</TermName>
          <TermId xmlns="http://schemas.microsoft.com/office/infopath/2007/PartnerControls">4767e6fc-97fe-4895-ba5a-80e461cbd45d</TermId>
        </TermInfo>
      </Terms>
    </c71f94430ee24530b6af52dc58e8598c>
    <gd56e2644879487f8da67586944cf0f5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af4d3abd-d88d-48b7-8fea-db9baac9496f</TermId>
        </TermInfo>
      </Terms>
    </gd56e2644879487f8da67586944cf0f5>
    <m9e92212f5fa42fa9b52bc2f3224e0af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Equinor Brasil Energia Ltda.</TermName>
          <TermId xmlns="http://schemas.microsoft.com/office/infopath/2007/PartnerControls">5b4a339c-2b69-419f-be0c-27e975216a58</TermId>
        </TermInfo>
      </Terms>
    </m9e92212f5fa42fa9b52bc2f3224e0af>
    <b519d5ff8fc64ffea9cb9a4c0b377271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3361fef0-33ac-457d-8a1d-df19735ffcb1</TermId>
        </TermInfo>
      </Terms>
    </b519d5ff8fc64ffea9cb9a4c0b377271>
    <lcf76f155ced4ddcb4097134ff3c332f xmlns="00bf9c0c-280a-47c4-848b-352c5e04b4bb">
      <Terms xmlns="http://schemas.microsoft.com/office/infopath/2007/PartnerControls"/>
    </lcf76f155ced4ddcb4097134ff3c332f>
    <hfb23c77fa4f4618a5f446ac03ac12ab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 and maintenance (OM)</TermName>
          <TermId xmlns="http://schemas.microsoft.com/office/infopath/2007/PartnerControls">2f792156-1444-4990-b757-a571494857be</TermId>
        </TermInfo>
      </Terms>
    </hfb23c77fa4f4618a5f446ac03ac12ab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02f74cf1-ae9f-400d-bc52-3bcd3a9e177f" ContentTypeId="0x0101" PreviousValue="false" LastSyncTimeStamp="2017-04-04T06:38:12.213Z"/>
</file>

<file path=customXml/itemProps1.xml><?xml version="1.0" encoding="utf-8"?>
<ds:datastoreItem xmlns:ds="http://schemas.openxmlformats.org/officeDocument/2006/customXml" ds:itemID="{A001B6A4-0015-4DE2-B826-4E52EB93C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1a9bfc-76a9-4942-bb84-a249f7d50da2"/>
    <ds:schemaRef ds:uri="00bf9c0c-280a-47c4-848b-352c5e04b4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167F5-8A48-4214-B26C-8B3BBD781BDD}">
  <ds:schemaRefs>
    <ds:schemaRef ds:uri="http://schemas.microsoft.com/office/2006/metadata/properties"/>
    <ds:schemaRef ds:uri="http://schemas.microsoft.com/office/infopath/2007/PartnerControls"/>
    <ds:schemaRef ds:uri="ea1a9bfc-76a9-4942-bb84-a249f7d50da2"/>
    <ds:schemaRef ds:uri="00bf9c0c-280a-47c4-848b-352c5e04b4bb"/>
  </ds:schemaRefs>
</ds:datastoreItem>
</file>

<file path=customXml/itemProps3.xml><?xml version="1.0" encoding="utf-8"?>
<ds:datastoreItem xmlns:ds="http://schemas.openxmlformats.org/officeDocument/2006/customXml" ds:itemID="{6188CE65-4162-4949-ADE3-2A301DA296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E9D809-42F0-40A1-9E5C-AB8EF28F40C9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8c0fd9d9-30b4-46b7-8b7b-c1b67ed693a5}" enabled="1" method="Standard" siteId="{3aa4a235-b6e2-48d5-9195-7fcf05b459b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2063</Words>
  <Characters>11142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Equinor</Company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Anízio de Amorim (Swift Technical Serv Tec Espec)</dc:creator>
  <cp:keywords/>
  <dc:description/>
  <cp:lastModifiedBy>Maurício Amorim</cp:lastModifiedBy>
  <cp:revision>28</cp:revision>
  <cp:lastPrinted>2025-12-20T09:46:00Z</cp:lastPrinted>
  <dcterms:created xsi:type="dcterms:W3CDTF">2025-12-20T09:49:00Z</dcterms:created>
  <dcterms:modified xsi:type="dcterms:W3CDTF">2025-12-20T15:38:00Z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0x01010021A623C39873404E8BA89587BD4428B401009C255F5FAD777141BBEE067A11771F0A</vt:lpwstr>
  </property>
  <property fmtid="{D5CDD505-2E9C-101B-9397-08002B2CF9AE}" pid="3" name="EIMLegalEntity">
    <vt:i4>7</vt:i4>
  </property>
  <property fmtid="{D5CDD505-2E9C-101B-9397-08002B2CF9AE}" pid="4" name="EIMBusinessArea">
    <vt:i4>5</vt:i4>
  </property>
  <property fmtid="{D5CDD505-2E9C-101B-9397-08002B2CF9AE}" pid="5" name="EIMDiscipline">
    <vt:lpwstr>11;#Fiscal metering systems ＆ field allocation|9d88b364-b47a-4a1e-8100-07f26438537d</vt:lpwstr>
  </property>
  <property fmtid="{D5CDD505-2E9C-101B-9397-08002B2CF9AE}" pid="6" name="EIMCountry">
    <vt:lpwstr>6;#Brazil|d641e264-f157-42ed-8f97-e17c8f6cf33a</vt:lpwstr>
  </property>
  <property fmtid="{D5CDD505-2E9C-101B-9397-08002B2CF9AE}" pid="7" name="EIMSource">
    <vt:i4>3</vt:i4>
  </property>
  <property fmtid="{D5CDD505-2E9C-101B-9397-08002B2CF9AE}" pid="8" name="EIMSecurityClassification">
    <vt:i4>4</vt:i4>
  </property>
  <property fmtid="{D5CDD505-2E9C-101B-9397-08002B2CF9AE}" pid="9" name="EIMProcess">
    <vt:i4>9</vt:i4>
  </property>
  <property fmtid="{D5CDD505-2E9C-101B-9397-08002B2CF9AE}" pid="10" name="EIMInformationAsset">
    <vt:i4>10</vt:i4>
  </property>
  <property fmtid="{D5CDD505-2E9C-101B-9397-08002B2CF9AE}" pid="11" name="EIMProcessArea">
    <vt:i4>8</vt:i4>
  </property>
  <property fmtid="{D5CDD505-2E9C-101B-9397-08002B2CF9AE}" pid="12" name="EIMStatus">
    <vt:i4>2</vt:i4>
  </property>
</Properties>
</file>